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5CE" w14:textId="77777777" w:rsidR="00DD1772" w:rsidRPr="00402D73" w:rsidRDefault="00DD1772" w:rsidP="00DD1772">
      <w:pPr>
        <w:spacing w:after="0" w:line="240" w:lineRule="auto"/>
        <w:rPr>
          <w:rFonts w:cstheme="minorHAnsi"/>
          <w:b/>
          <w:bCs/>
          <w:kern w:val="0"/>
          <w:u w:val="single"/>
          <w14:ligatures w14:val="none"/>
        </w:rPr>
      </w:pPr>
      <w:r w:rsidRPr="00402D73">
        <w:rPr>
          <w:rFonts w:cstheme="minorHAnsi"/>
          <w:b/>
          <w:bCs/>
          <w:kern w:val="0"/>
          <w:u w:val="single"/>
          <w14:ligatures w14:val="none"/>
        </w:rPr>
        <w:t>Priorytety wydatkowania środków Krajowego Funduszu Szkoleniowego w roku 2025 ustalone przez Ministra właściwego do spraw pracy</w:t>
      </w:r>
    </w:p>
    <w:p w14:paraId="2C100A29" w14:textId="77777777" w:rsidR="00DD1772" w:rsidRPr="00402D73" w:rsidRDefault="00DD1772" w:rsidP="00DD1772">
      <w:pPr>
        <w:spacing w:after="0" w:line="240" w:lineRule="auto"/>
        <w:rPr>
          <w:rFonts w:eastAsia="Calibri" w:cstheme="minorHAnsi"/>
          <w:b/>
          <w:bCs/>
          <w:kern w:val="0"/>
          <w:sz w:val="28"/>
          <w:szCs w:val="28"/>
          <w:u w:val="single"/>
          <w14:ligatures w14:val="none"/>
        </w:rPr>
      </w:pPr>
    </w:p>
    <w:p w14:paraId="7E629710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>1) Wsparcie rozwoju umiejętności i kwalifikacji w zawodach określonych jako deficytowe na danym</w:t>
      </w:r>
    </w:p>
    <w:p w14:paraId="274A4EA7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>terenie tj. w powiecie lub w województwie.</w:t>
      </w:r>
    </w:p>
    <w:p w14:paraId="68B830A9" w14:textId="77777777" w:rsidR="00DD1772" w:rsidRPr="00524CDE" w:rsidRDefault="00DD1772" w:rsidP="00DD1772">
      <w:pPr>
        <w:spacing w:line="240" w:lineRule="auto"/>
        <w:jc w:val="both"/>
        <w:rPr>
          <w:rFonts w:eastAsia="Calibri" w:cstheme="minorHAnsi"/>
          <w:b/>
          <w:bCs/>
          <w:i/>
          <w:iCs/>
          <w:kern w:val="0"/>
          <w14:ligatures w14:val="none"/>
        </w:rPr>
      </w:pPr>
      <w:r w:rsidRPr="003051D9">
        <w:rPr>
          <w:rFonts w:eastAsia="Calibri" w:cstheme="minorHAnsi"/>
          <w:b/>
          <w:bCs/>
          <w:i/>
          <w:iCs/>
          <w:kern w:val="0"/>
          <w14:ligatures w14:val="none"/>
        </w:rPr>
        <w:t>(przy ocenie wniosków uwzględnia się zawody deficytowe zidentyfikowane w województwie łódzkim i powiecie łaskim, określone w ,,Barometrze zawodów 202</w:t>
      </w:r>
      <w:r>
        <w:rPr>
          <w:rFonts w:eastAsia="Calibri" w:cstheme="minorHAnsi"/>
          <w:b/>
          <w:bCs/>
          <w:i/>
          <w:iCs/>
          <w:kern w:val="0"/>
          <w14:ligatures w14:val="none"/>
        </w:rPr>
        <w:t>5</w:t>
      </w:r>
      <w:r w:rsidRPr="003051D9">
        <w:rPr>
          <w:rFonts w:eastAsia="Calibri" w:cstheme="minorHAnsi"/>
          <w:b/>
          <w:bCs/>
          <w:i/>
          <w:iCs/>
          <w:kern w:val="0"/>
          <w14:ligatures w14:val="none"/>
        </w:rPr>
        <w:t>”</w:t>
      </w:r>
      <w:r>
        <w:rPr>
          <w:rFonts w:eastAsia="Calibri" w:cstheme="minorHAnsi"/>
          <w:b/>
          <w:bCs/>
          <w:i/>
          <w:iCs/>
          <w:kern w:val="0"/>
          <w14:ligatures w14:val="none"/>
        </w:rPr>
        <w:t>)</w:t>
      </w:r>
      <w:r w:rsidRPr="00D02B60">
        <w:t xml:space="preserve"> </w:t>
      </w:r>
      <w:r w:rsidRPr="00D02B60">
        <w:rPr>
          <w:rFonts w:eastAsia="Calibri" w:cstheme="minorHAnsi"/>
          <w:b/>
          <w:bCs/>
          <w:i/>
          <w:iCs/>
          <w:kern w:val="0"/>
          <w14:ligatures w14:val="none"/>
        </w:rPr>
        <w:t>https://www.google.com/search?client=firefox-b-d&amp;q=barometr+zawodow</w:t>
      </w:r>
    </w:p>
    <w:p w14:paraId="7D2FB4FB" w14:textId="77777777" w:rsidR="00DD1772" w:rsidRPr="003051D9" w:rsidRDefault="00DD1772" w:rsidP="00DD1772">
      <w:pPr>
        <w:spacing w:line="240" w:lineRule="auto"/>
        <w:jc w:val="both"/>
        <w:rPr>
          <w:rFonts w:eastAsia="SimSun" w:cstheme="minorHAnsi"/>
          <w:kern w:val="0"/>
          <w14:ligatures w14:val="none"/>
        </w:rPr>
      </w:pPr>
      <w:r w:rsidRPr="003051D9">
        <w:rPr>
          <w:rFonts w:eastAsia="SimSun" w:cstheme="minorHAnsi"/>
          <w:kern w:val="0"/>
          <w14:ligatures w14:val="none"/>
        </w:rPr>
        <w:t xml:space="preserve">Priorytet </w:t>
      </w:r>
      <w:r>
        <w:rPr>
          <w:rFonts w:eastAsia="SimSun" w:cstheme="minorHAnsi"/>
          <w:kern w:val="0"/>
          <w14:ligatures w14:val="none"/>
        </w:rPr>
        <w:t xml:space="preserve">pozwala na sfinansowanie kształcenia ustawicznego w zakresie umiejętności </w:t>
      </w:r>
      <w:proofErr w:type="spellStart"/>
      <w:r>
        <w:rPr>
          <w:rFonts w:eastAsia="SimSun" w:cstheme="minorHAnsi"/>
          <w:kern w:val="0"/>
          <w14:ligatures w14:val="none"/>
        </w:rPr>
        <w:t>ogólno</w:t>
      </w:r>
      <w:proofErr w:type="spellEnd"/>
      <w:r>
        <w:rPr>
          <w:rFonts w:eastAsia="SimSun" w:cstheme="minorHAnsi"/>
          <w:kern w:val="0"/>
          <w14:ligatures w14:val="none"/>
        </w:rPr>
        <w:t>-zawodowych (w tym tzw. kompetencji miękkich) o ile są one powiązane z wykonywaniem pracy w zawodzie deficytowym. Z kształcenia ustawicznego w ramach priorytetu mogą skorzystać zarówno osoby pracujące w zawodach określonych jako deficytowe jak i osoby zamierzające wykonywać zadania związane z zawodem deficytowym w przyszłości.</w:t>
      </w:r>
    </w:p>
    <w:p w14:paraId="2A3F0F79" w14:textId="77777777" w:rsidR="00DD1772" w:rsidRPr="008E68B1" w:rsidRDefault="00DD1772" w:rsidP="00DD1772">
      <w:pPr>
        <w:spacing w:line="240" w:lineRule="auto"/>
        <w:jc w:val="both"/>
      </w:pPr>
      <w:r w:rsidRPr="003051D9">
        <w:rPr>
          <w:rFonts w:eastAsia="SimSun" w:cstheme="minorHAnsi"/>
          <w:b/>
          <w:bCs/>
          <w:kern w:val="0"/>
          <w14:ligatures w14:val="none"/>
        </w:rPr>
        <w:t xml:space="preserve">- </w:t>
      </w:r>
      <w:r w:rsidRPr="003051D9">
        <w:rPr>
          <w:rFonts w:eastAsia="SimSun" w:cstheme="minorHAnsi"/>
          <w:b/>
          <w:bCs/>
          <w:i/>
          <w:iCs/>
          <w:kern w:val="0"/>
          <w:u w:val="single"/>
          <w14:ligatures w14:val="none"/>
        </w:rPr>
        <w:t>zawody deficytowe w powiecie łaskim w 202</w:t>
      </w:r>
      <w:r>
        <w:rPr>
          <w:rFonts w:eastAsia="SimSun" w:cstheme="minorHAnsi"/>
          <w:b/>
          <w:bCs/>
          <w:i/>
          <w:iCs/>
          <w:kern w:val="0"/>
          <w:u w:val="single"/>
          <w14:ligatures w14:val="none"/>
        </w:rPr>
        <w:t>5</w:t>
      </w:r>
      <w:r w:rsidRPr="003051D9">
        <w:rPr>
          <w:rFonts w:eastAsia="SimSun" w:cstheme="minorHAnsi"/>
          <w:b/>
          <w:bCs/>
          <w:i/>
          <w:iCs/>
          <w:kern w:val="0"/>
          <w:u w:val="single"/>
          <w14:ligatures w14:val="none"/>
        </w:rPr>
        <w:t xml:space="preserve"> r</w:t>
      </w:r>
      <w:r w:rsidRPr="003051D9">
        <w:rPr>
          <w:rFonts w:eastAsia="SimSun" w:cstheme="minorHAnsi"/>
          <w:i/>
          <w:iCs/>
          <w:kern w:val="0"/>
          <w14:ligatures w14:val="none"/>
        </w:rPr>
        <w:t>. –</w:t>
      </w:r>
      <w:r>
        <w:rPr>
          <w:rFonts w:eastAsia="SimSun" w:cstheme="minorHAnsi"/>
          <w:i/>
          <w:iCs/>
          <w:kern w:val="0"/>
          <w14:ligatures w14:val="none"/>
        </w:rPr>
        <w:t xml:space="preserve"> </w:t>
      </w:r>
      <w:hyperlink r:id="rId5" w:history="1">
        <w:r w:rsidRPr="00901CFC">
          <w:rPr>
            <w:rStyle w:val="Hipercze"/>
            <w:color w:val="auto"/>
          </w:rPr>
          <w:t>Elektrycy, elektromechanicy i elektromonterzy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6" w:history="1">
        <w:r w:rsidRPr="00901CFC">
          <w:rPr>
            <w:rStyle w:val="Hipercze"/>
            <w:color w:val="auto"/>
          </w:rPr>
          <w:t>Fizjoterapeuci i masażyści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7" w:history="1">
        <w:r w:rsidRPr="00901CFC">
          <w:rPr>
            <w:rStyle w:val="Hipercze"/>
            <w:color w:val="auto"/>
          </w:rPr>
          <w:t>Kosmetyczki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8" w:history="1">
        <w:r w:rsidRPr="00901CFC">
          <w:rPr>
            <w:rStyle w:val="Hipercze"/>
            <w:color w:val="auto"/>
          </w:rPr>
          <w:t>Lekarze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9" w:history="1">
        <w:r w:rsidRPr="00901CFC">
          <w:rPr>
            <w:rStyle w:val="Hipercze"/>
            <w:color w:val="auto"/>
          </w:rPr>
          <w:t>Nauczyciele nauczania wczesnoszkolnego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10" w:history="1">
        <w:r w:rsidRPr="00901CFC">
          <w:rPr>
            <w:rStyle w:val="Hipercze"/>
            <w:color w:val="auto"/>
          </w:rPr>
          <w:t>Nauczyciele przedmiotów ogólnokształcących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11" w:history="1">
        <w:r w:rsidRPr="00901CFC">
          <w:rPr>
            <w:rStyle w:val="Hipercze"/>
            <w:color w:val="auto"/>
          </w:rPr>
          <w:t>Nauczyciele przedszkoli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12" w:history="1">
        <w:r w:rsidRPr="00901CFC">
          <w:rPr>
            <w:rStyle w:val="Hipercze"/>
            <w:color w:val="auto"/>
          </w:rPr>
          <w:t>Nauczyciele szkół specjalnych i oddziałów integracyjnych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13" w:history="1">
        <w:r w:rsidRPr="00901CFC">
          <w:rPr>
            <w:rStyle w:val="Hipercze"/>
            <w:color w:val="auto"/>
          </w:rPr>
          <w:t>Pracownicy ds. rachunkowości i księgowości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14" w:history="1">
        <w:r w:rsidRPr="00901CFC">
          <w:rPr>
            <w:rStyle w:val="Hipercze"/>
            <w:color w:val="auto"/>
          </w:rPr>
          <w:t>Psycholodzy i psychoterapeuci</w:t>
        </w:r>
      </w:hyperlink>
      <w:hyperlink r:id="rId15" w:history="1">
        <w:r>
          <w:rPr>
            <w:rStyle w:val="Hipercze"/>
            <w:color w:val="auto"/>
          </w:rPr>
          <w:t>,</w:t>
        </w:r>
      </w:hyperlink>
      <w:r>
        <w:rPr>
          <w:rStyle w:val="Hipercze"/>
          <w:color w:val="auto"/>
        </w:rPr>
        <w:t xml:space="preserve"> </w:t>
      </w:r>
      <w:hyperlink r:id="rId16" w:history="1">
        <w:r w:rsidRPr="008E7759">
          <w:rPr>
            <w:u w:val="single"/>
          </w:rPr>
          <w:t xml:space="preserve">Spawacze. </w:t>
        </w:r>
      </w:hyperlink>
    </w:p>
    <w:p w14:paraId="50416C66" w14:textId="77777777" w:rsidR="00DD1772" w:rsidRPr="008E68B1" w:rsidRDefault="00DD1772" w:rsidP="00DD1772">
      <w:pPr>
        <w:spacing w:line="240" w:lineRule="auto"/>
        <w:jc w:val="both"/>
        <w:rPr>
          <w:rFonts w:eastAsia="SimSun" w:cstheme="minorHAnsi"/>
          <w:kern w:val="0"/>
          <w14:ligatures w14:val="none"/>
        </w:rPr>
      </w:pPr>
      <w:r w:rsidRPr="003051D9">
        <w:rPr>
          <w:rFonts w:eastAsia="SimSun" w:cstheme="minorHAnsi"/>
          <w:b/>
          <w:bCs/>
          <w:kern w:val="0"/>
          <w14:ligatures w14:val="none"/>
        </w:rPr>
        <w:t xml:space="preserve">- </w:t>
      </w:r>
      <w:r w:rsidRPr="003051D9">
        <w:rPr>
          <w:rFonts w:eastAsia="SimSun" w:cstheme="minorHAnsi"/>
          <w:b/>
          <w:bCs/>
          <w:i/>
          <w:iCs/>
          <w:kern w:val="0"/>
          <w:u w:val="single"/>
          <w14:ligatures w14:val="none"/>
        </w:rPr>
        <w:t>zawody deficytowe w województwie łódzkim w 202</w:t>
      </w:r>
      <w:r>
        <w:rPr>
          <w:rFonts w:eastAsia="SimSun" w:cstheme="minorHAnsi"/>
          <w:b/>
          <w:bCs/>
          <w:i/>
          <w:iCs/>
          <w:kern w:val="0"/>
          <w:u w:val="single"/>
          <w14:ligatures w14:val="none"/>
        </w:rPr>
        <w:t>5</w:t>
      </w:r>
      <w:r w:rsidRPr="003051D9">
        <w:rPr>
          <w:rFonts w:eastAsia="SimSun" w:cstheme="minorHAnsi"/>
          <w:b/>
          <w:bCs/>
          <w:i/>
          <w:iCs/>
          <w:kern w:val="0"/>
          <w:u w:val="single"/>
          <w14:ligatures w14:val="none"/>
        </w:rPr>
        <w:t xml:space="preserve"> r.</w:t>
      </w:r>
      <w:r w:rsidRPr="003051D9">
        <w:rPr>
          <w:rFonts w:eastAsia="SimSun" w:cstheme="minorHAnsi"/>
          <w:b/>
          <w:bCs/>
          <w:i/>
          <w:iCs/>
          <w:kern w:val="0"/>
          <w14:ligatures w14:val="none"/>
        </w:rPr>
        <w:t xml:space="preserve"> </w:t>
      </w:r>
      <w:r w:rsidRPr="003051D9">
        <w:rPr>
          <w:rFonts w:eastAsia="SimSun" w:cstheme="minorHAnsi"/>
          <w:b/>
          <w:bCs/>
          <w:kern w:val="0"/>
          <w14:ligatures w14:val="none"/>
        </w:rPr>
        <w:t xml:space="preserve"> –</w:t>
      </w:r>
      <w:r>
        <w:t xml:space="preserve"> </w:t>
      </w:r>
      <w:hyperlink r:id="rId17" w:history="1">
        <w:r w:rsidRPr="00901CFC">
          <w:rPr>
            <w:rStyle w:val="Hipercze"/>
            <w:color w:val="auto"/>
          </w:rPr>
          <w:t>Elektrycy, elektromechanicy i elektromonterzy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18" w:history="1">
        <w:r w:rsidRPr="00901CFC">
          <w:rPr>
            <w:rStyle w:val="Hipercze"/>
            <w:color w:val="auto"/>
          </w:rPr>
          <w:t>Kierowcy autobusów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19" w:history="1">
        <w:r w:rsidRPr="00901CFC">
          <w:rPr>
            <w:rStyle w:val="Hipercze"/>
            <w:color w:val="auto"/>
          </w:rPr>
          <w:t>Kierowcy samochodów ciężarowych i ciągników siodłowych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20" w:history="1">
        <w:r w:rsidRPr="00901CFC">
          <w:rPr>
            <w:rStyle w:val="Hipercze"/>
            <w:color w:val="auto"/>
          </w:rPr>
          <w:t>Lekarze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21" w:history="1">
        <w:r w:rsidRPr="00901CFC">
          <w:rPr>
            <w:rStyle w:val="Hipercze"/>
            <w:color w:val="auto"/>
          </w:rPr>
          <w:t>Magazynierzy</w:t>
        </w:r>
        <w:r>
          <w:rPr>
            <w:rStyle w:val="Hipercze"/>
            <w:color w:val="auto"/>
          </w:rPr>
          <w:t>;</w:t>
        </w:r>
        <w:r w:rsidRPr="00901CFC">
          <w:rPr>
            <w:rStyle w:val="Hipercze"/>
            <w:color w:val="auto"/>
          </w:rPr>
          <w:t xml:space="preserve"> </w:t>
        </w:r>
      </w:hyperlink>
      <w:hyperlink r:id="rId22" w:history="1">
        <w:r w:rsidRPr="008E7759">
          <w:rPr>
            <w:rStyle w:val="Hipercze"/>
            <w:color w:val="auto"/>
          </w:rPr>
          <w:t xml:space="preserve">Nauczyciele szkół specjalnych i oddziałów integracyjnych; </w:t>
        </w:r>
      </w:hyperlink>
      <w:hyperlink r:id="rId23" w:history="1">
        <w:r w:rsidRPr="008E7759">
          <w:rPr>
            <w:rStyle w:val="Hipercze"/>
            <w:color w:val="auto"/>
          </w:rPr>
          <w:t>Operatorzy i mechanicy sprzętu do robót ziemnych,</w:t>
        </w:r>
      </w:hyperlink>
      <w:r w:rsidRPr="008E7759">
        <w:rPr>
          <w:rStyle w:val="Hipercze"/>
          <w:color w:val="auto"/>
        </w:rPr>
        <w:t xml:space="preserve"> </w:t>
      </w:r>
      <w:hyperlink r:id="rId24" w:history="1">
        <w:r w:rsidRPr="008E7759">
          <w:rPr>
            <w:u w:val="single"/>
          </w:rPr>
          <w:t xml:space="preserve">Pielęgniarki i położne, </w:t>
        </w:r>
      </w:hyperlink>
      <w:hyperlink r:id="rId25" w:history="1">
        <w:r w:rsidRPr="008E7759">
          <w:rPr>
            <w:u w:val="single"/>
          </w:rPr>
          <w:t xml:space="preserve">Pracownicy służb mundurowych, </w:t>
        </w:r>
      </w:hyperlink>
      <w:hyperlink r:id="rId26" w:history="1">
        <w:r w:rsidRPr="008E7759">
          <w:rPr>
            <w:u w:val="single"/>
          </w:rPr>
          <w:t xml:space="preserve">Psycholodzy i psychoterapeuci, </w:t>
        </w:r>
      </w:hyperlink>
      <w:hyperlink r:id="rId27" w:history="1">
        <w:r w:rsidRPr="008E7759">
          <w:rPr>
            <w:u w:val="single"/>
          </w:rPr>
          <w:t xml:space="preserve">Spawacze. </w:t>
        </w:r>
      </w:hyperlink>
      <w:hyperlink r:id="rId28" w:history="1"/>
    </w:p>
    <w:p w14:paraId="78E85DEB" w14:textId="77777777" w:rsidR="00DD1772" w:rsidRPr="003051D9" w:rsidRDefault="00DD1772" w:rsidP="00DD1772">
      <w:pPr>
        <w:spacing w:line="240" w:lineRule="auto"/>
        <w:jc w:val="both"/>
        <w:rPr>
          <w:rFonts w:eastAsia="SimSun" w:cstheme="minorHAnsi"/>
          <w:kern w:val="0"/>
          <w14:ligatures w14:val="none"/>
        </w:rPr>
      </w:pPr>
      <w:r w:rsidRPr="003051D9">
        <w:rPr>
          <w:rFonts w:eastAsia="SimSun" w:cstheme="minorHAnsi"/>
          <w:kern w:val="0"/>
          <w14:ligatures w14:val="none"/>
        </w:rPr>
        <w:t>Pracodawca wnioskujący o dofinansowanie kształcenia ustawicznego pracowników zatrudnionych na terenie innego powiatu lub województwa niż siedziba Powiatowego Urzędu Pracy w Łasku powinien wykazać, że zawód jest deficytowy dla miejsca wykonywania pracy.</w:t>
      </w:r>
    </w:p>
    <w:p w14:paraId="0567EA8C" w14:textId="77777777" w:rsidR="00DD1772" w:rsidRPr="003051D9" w:rsidRDefault="00DD1772" w:rsidP="00DD1772">
      <w:pPr>
        <w:spacing w:line="240" w:lineRule="auto"/>
        <w:jc w:val="both"/>
        <w:rPr>
          <w:rFonts w:eastAsia="Calibri" w:cstheme="minorHAnsi"/>
          <w:b/>
          <w:bCs/>
          <w:i/>
          <w:iCs/>
          <w:kern w:val="0"/>
          <w14:ligatures w14:val="none"/>
        </w:rPr>
      </w:pPr>
      <w:r>
        <w:rPr>
          <w:rFonts w:eastAsia="Calibri" w:cstheme="minorHAnsi"/>
          <w:b/>
          <w:bCs/>
          <w:i/>
          <w:iCs/>
          <w:kern w:val="0"/>
          <w14:ligatures w14:val="none"/>
        </w:rPr>
        <w:t>Kluczową rolę odgrywa uzasadnienie odbycia szkolenia.</w:t>
      </w:r>
    </w:p>
    <w:p w14:paraId="7E9DBF2B" w14:textId="77777777" w:rsidR="00DD1772" w:rsidRDefault="00DD1772" w:rsidP="00DD1772">
      <w:pPr>
        <w:spacing w:after="0" w:line="240" w:lineRule="auto"/>
        <w:jc w:val="both"/>
      </w:pPr>
    </w:p>
    <w:p w14:paraId="04BBCB50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>2) Wsparcie rozwoju umiejętności i kwalifikacji w związku z zastosowaniem w firmach nowych</w:t>
      </w:r>
    </w:p>
    <w:p w14:paraId="337364C0" w14:textId="77777777" w:rsidR="00DD1772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>procesów, technologii i narzędzi pracy.</w:t>
      </w:r>
    </w:p>
    <w:p w14:paraId="6CECE56D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</w:p>
    <w:p w14:paraId="572A71F8" w14:textId="77777777" w:rsidR="00DD1772" w:rsidRDefault="00DD1772" w:rsidP="00DD1772">
      <w:pPr>
        <w:spacing w:line="240" w:lineRule="auto"/>
        <w:jc w:val="both"/>
        <w:rPr>
          <w:rFonts w:cstheme="minorHAnsi"/>
          <w:kern w:val="0"/>
          <w14:ligatures w14:val="none"/>
        </w:rPr>
      </w:pPr>
      <w:r w:rsidRPr="003051D9">
        <w:rPr>
          <w:rFonts w:cstheme="minorHAnsi"/>
          <w:kern w:val="0"/>
          <w14:ligatures w14:val="none"/>
        </w:rPr>
        <w:t>,,Nowe procesy, technologie czy narzędzia pracy” to procesy, technologie, maszyny czy rozwiązania nowe dla wnioskodawcy.</w:t>
      </w:r>
    </w:p>
    <w:p w14:paraId="12631C2D" w14:textId="77777777" w:rsidR="00DD1772" w:rsidRPr="003051D9" w:rsidRDefault="00DD1772" w:rsidP="00DD1772">
      <w:pPr>
        <w:spacing w:line="240" w:lineRule="auto"/>
        <w:jc w:val="both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Proces to seria powiązanych ze sobą działań lub zadań, które rozwiązują problem lub prowadzą do osiągnięcia określonego efektu np.: proces zarządczy, proces operacyjny, proces pomocniczy – </w:t>
      </w:r>
      <w:r w:rsidRPr="00F46E46">
        <w:rPr>
          <w:rFonts w:cstheme="minorHAnsi"/>
          <w:kern w:val="0"/>
          <w:u w:val="single"/>
          <w14:ligatures w14:val="none"/>
        </w:rPr>
        <w:t>https://www.gov.pl/web/popcwsparcie/zarzadzanie-procesami-biznesowymi-bpm</w:t>
      </w:r>
    </w:p>
    <w:p w14:paraId="7F3C9F18" w14:textId="77777777" w:rsidR="00DD1772" w:rsidRPr="003051D9" w:rsidRDefault="00DD1772" w:rsidP="00DD1772">
      <w:pPr>
        <w:spacing w:line="240" w:lineRule="auto"/>
        <w:jc w:val="both"/>
        <w:rPr>
          <w:rFonts w:cstheme="minorHAnsi"/>
          <w:kern w:val="0"/>
          <w14:ligatures w14:val="none"/>
        </w:rPr>
      </w:pPr>
      <w:r w:rsidRPr="003051D9">
        <w:rPr>
          <w:rFonts w:eastAsia="SimSun" w:cstheme="minorHAnsi"/>
          <w:kern w:val="0"/>
          <w14:ligatures w14:val="none"/>
        </w:rPr>
        <w:t>Wnioskodawca powinien udowodnić np. na podstawie kopii dokumentów zakupu, decyzji dyrektora/zarządu o wprowadzeniu norm ISO, itp. oraz logicznego i wiarygodnego uzasadnienia, że w ciągu jednego roku przed złożeniem wniosku bądź w ciągu trzech miesięcy po jego złożeniu zostały/zostaną zakupione nowe maszyny i narzędzia, bądź</w:t>
      </w:r>
      <w:r>
        <w:rPr>
          <w:rFonts w:eastAsia="SimSun" w:cstheme="minorHAnsi"/>
          <w:kern w:val="0"/>
          <w14:ligatures w14:val="none"/>
        </w:rPr>
        <w:t xml:space="preserve"> zostały/</w:t>
      </w:r>
      <w:r w:rsidRPr="003051D9">
        <w:rPr>
          <w:rFonts w:eastAsia="SimSun" w:cstheme="minorHAnsi"/>
          <w:kern w:val="0"/>
          <w14:ligatures w14:val="none"/>
        </w:rPr>
        <w:t xml:space="preserve"> będą wdrożone nowe procesy,  technologie i systemy, a osoby objęte kształceniem ustawicznym będą wykonywać nowe zadania związane z wprowadzonymi/ planowanymi do wprowadzenia zmianami.</w:t>
      </w:r>
    </w:p>
    <w:p w14:paraId="53B05720" w14:textId="77777777" w:rsidR="00DD1772" w:rsidRPr="008E68B1" w:rsidRDefault="00DD1772" w:rsidP="00DD1772">
      <w:pPr>
        <w:spacing w:line="240" w:lineRule="auto"/>
        <w:jc w:val="both"/>
        <w:rPr>
          <w:rFonts w:eastAsia="SimSun" w:cstheme="minorHAnsi"/>
          <w:b/>
          <w:bCs/>
          <w:strike/>
          <w:kern w:val="0"/>
          <w14:ligatures w14:val="none"/>
        </w:rPr>
      </w:pPr>
      <w:r w:rsidRPr="00292E8C">
        <w:rPr>
          <w:rFonts w:eastAsia="SimSun" w:cstheme="minorHAnsi"/>
          <w:b/>
          <w:bCs/>
          <w:kern w:val="0"/>
          <w14:ligatures w14:val="none"/>
        </w:rPr>
        <w:t>Wsparciem można objąć osobę, która w ramach wykonywania swoich zadań zawodowych/na stanowisku pracy korzysta lub będzie korzystała z nowych technologii i narzędzi pracy lub</w:t>
      </w:r>
      <w:r w:rsidRPr="00292E8C">
        <w:rPr>
          <w:rFonts w:eastAsia="SimSun" w:cstheme="minorHAnsi"/>
          <w:b/>
          <w:bCs/>
          <w:color w:val="FF0000"/>
          <w:kern w:val="0"/>
          <w14:ligatures w14:val="none"/>
        </w:rPr>
        <w:t xml:space="preserve"> </w:t>
      </w:r>
      <w:r w:rsidRPr="00292E8C">
        <w:rPr>
          <w:rFonts w:eastAsia="SimSun" w:cstheme="minorHAnsi"/>
          <w:b/>
          <w:bCs/>
          <w:kern w:val="0"/>
          <w14:ligatures w14:val="none"/>
        </w:rPr>
        <w:t>która wymaga nabycia nowych kompetencji niezbędnych do wykonywania pracy w związku z wdrożeniem nowego procesu</w:t>
      </w:r>
      <w:r>
        <w:rPr>
          <w:rFonts w:eastAsia="SimSun" w:cstheme="minorHAnsi"/>
          <w:b/>
          <w:bCs/>
          <w:kern w:val="0"/>
          <w14:ligatures w14:val="none"/>
        </w:rPr>
        <w:t>.</w:t>
      </w:r>
    </w:p>
    <w:p w14:paraId="2F0B46C2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lastRenderedPageBreak/>
        <w:t>3) Wsparcie kształcenia ustawicznego pracodawców i ich pracowników zgodnie z potrzebami</w:t>
      </w:r>
    </w:p>
    <w:p w14:paraId="5EA65C0A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>szkoleniowymi, które pojawiły się na terenach dotkniętych przez powódź we wrześniu 2024 roku.</w:t>
      </w:r>
    </w:p>
    <w:p w14:paraId="2F25C420" w14:textId="77777777" w:rsidR="00DD1772" w:rsidRDefault="00DD1772" w:rsidP="00DD1772">
      <w:pPr>
        <w:spacing w:after="0" w:line="240" w:lineRule="auto"/>
        <w:jc w:val="both"/>
      </w:pPr>
    </w:p>
    <w:p w14:paraId="56E1C6F5" w14:textId="77777777" w:rsidR="00DD1772" w:rsidRDefault="00DD1772" w:rsidP="00DD1772">
      <w:pPr>
        <w:spacing w:after="0" w:line="240" w:lineRule="auto"/>
        <w:jc w:val="both"/>
      </w:pPr>
      <w:r>
        <w:t>Priorytet oferuje wsparcie pracodawcom prowadzącym działalność na terenach, na których obowiązuje rozporządzenie Rady Ministrów z 16 września 2024 roku w sprawie wykazu gmin, w których są stosowane szczególne rozwiązania związane z usuwaniem skutków powodzi z września 2024 r., oraz rozwiązań stosowanych na ich terenie (Dz.U.2024 poz. 1371).</w:t>
      </w:r>
    </w:p>
    <w:p w14:paraId="2E9A7BD9" w14:textId="77777777" w:rsidR="00DD1772" w:rsidRDefault="00DD1772" w:rsidP="00DD1772">
      <w:pPr>
        <w:spacing w:after="0" w:line="240" w:lineRule="auto"/>
        <w:jc w:val="both"/>
      </w:pPr>
      <w:r>
        <w:t>Rozporządzenie dotyczy wybranych gmin w województwach: dolnośląskim, lubuskim, opolskim, śląskim.</w:t>
      </w:r>
    </w:p>
    <w:p w14:paraId="778DFB50" w14:textId="77777777" w:rsidR="00DD1772" w:rsidRDefault="00DD1772" w:rsidP="00DD1772">
      <w:pPr>
        <w:spacing w:after="0" w:line="240" w:lineRule="auto"/>
        <w:jc w:val="both"/>
      </w:pPr>
      <w:r>
        <w:t xml:space="preserve">Nie ma żadnych ograniczeń co do tematu czy obszaru wybranych form kształcenia ustawicznego. </w:t>
      </w:r>
    </w:p>
    <w:p w14:paraId="1CEF10D8" w14:textId="77777777" w:rsidR="00DD1772" w:rsidRDefault="00DD1772" w:rsidP="00DD1772">
      <w:pPr>
        <w:spacing w:after="0" w:line="240" w:lineRule="auto"/>
        <w:jc w:val="both"/>
      </w:pPr>
      <w:r>
        <w:t>Warunkiem skorzystania z priorytetu jest prowadzenie działalności na terenie którejkolwiek z gmin których dotyczy w/w rozporządzenie oraz oświadczenie pracodawcy o konieczności nabycia nowych umiejętności czy kwalifikacji w związku z rozszerzeniem/przekwalifikowaniem obszaru działalności firmy z powołaniem się na odpowiedni przepis.</w:t>
      </w:r>
    </w:p>
    <w:p w14:paraId="1A65EDC9" w14:textId="77777777" w:rsidR="00DD1772" w:rsidRDefault="00DD1772" w:rsidP="00DD1772">
      <w:pPr>
        <w:spacing w:after="0" w:line="240" w:lineRule="auto"/>
        <w:jc w:val="both"/>
      </w:pPr>
    </w:p>
    <w:p w14:paraId="535FFE27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>4) Poprawa zarządzania i komunikacji w firmie w oparciu o zasady przeciwdziałania dyskryminacji</w:t>
      </w:r>
    </w:p>
    <w:p w14:paraId="24A5F89C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 xml:space="preserve">i </w:t>
      </w:r>
      <w:proofErr w:type="spellStart"/>
      <w:r w:rsidRPr="00292E8C">
        <w:rPr>
          <w:b/>
          <w:bCs/>
        </w:rPr>
        <w:t>mobbingowi</w:t>
      </w:r>
      <w:proofErr w:type="spellEnd"/>
      <w:r w:rsidRPr="00292E8C">
        <w:rPr>
          <w:b/>
          <w:bCs/>
        </w:rPr>
        <w:t>, rozwoju dialogu społecznego, partycypacji pracowniczej i wspierania integracji</w:t>
      </w:r>
    </w:p>
    <w:p w14:paraId="0E3F355E" w14:textId="77777777" w:rsidR="00DD1772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>w miejscu pracy.</w:t>
      </w:r>
    </w:p>
    <w:p w14:paraId="29EF0F92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</w:p>
    <w:p w14:paraId="53352543" w14:textId="77777777" w:rsidR="00DD1772" w:rsidRDefault="00DD1772" w:rsidP="00DD1772">
      <w:pPr>
        <w:spacing w:after="0" w:line="240" w:lineRule="auto"/>
        <w:jc w:val="both"/>
      </w:pPr>
      <w:r>
        <w:t>Jednym z najpoważniejszych zagrożeń spotykanych w wielu firmach jest</w:t>
      </w:r>
      <w:r w:rsidRPr="003A0F6D">
        <w:t xml:space="preserve"> </w:t>
      </w:r>
      <w:proofErr w:type="spellStart"/>
      <w:r>
        <w:t>mobbing</w:t>
      </w:r>
      <w:proofErr w:type="spellEnd"/>
      <w:r>
        <w:t xml:space="preserve"> i dyskryminacja.</w:t>
      </w:r>
    </w:p>
    <w:p w14:paraId="38E35149" w14:textId="77777777" w:rsidR="00DD1772" w:rsidRDefault="00DD1772" w:rsidP="00DD1772">
      <w:pPr>
        <w:spacing w:after="0" w:line="240" w:lineRule="auto"/>
        <w:jc w:val="both"/>
      </w:pPr>
      <w:r>
        <w:t>Kluczową rolą</w:t>
      </w:r>
      <w:r w:rsidRPr="003A0F6D">
        <w:t xml:space="preserve"> </w:t>
      </w:r>
      <w:r>
        <w:t xml:space="preserve">pracodawcy, sprzyjającą efektywności pracowników jest kreowanie bezpiecznego i wspierającego środowiska pracy. Istotną funkcję odgrywa dialog społeczny. Współpraca między pracodawcą , pracownikami i związkami zawodowymi może prowadzić do wyksztalcenia umiejętności identyfikowania zjawisk takich jak </w:t>
      </w:r>
      <w:proofErr w:type="spellStart"/>
      <w:r>
        <w:t>mobbing</w:t>
      </w:r>
      <w:proofErr w:type="spellEnd"/>
      <w:r>
        <w:t xml:space="preserve"> i dyskryminacja oraz reagowania na nie na każdym szczeblu organizacyjnym.</w:t>
      </w:r>
    </w:p>
    <w:p w14:paraId="03B21E1D" w14:textId="77777777" w:rsidR="00DD1772" w:rsidRDefault="00DD1772" w:rsidP="00DD1772">
      <w:pPr>
        <w:spacing w:after="0" w:line="240" w:lineRule="auto"/>
        <w:jc w:val="both"/>
      </w:pPr>
      <w:r>
        <w:t xml:space="preserve">Szkolenia  mają na celu wzmocnienie umiejętności zarządzania, poprawę komunikacji wewnętrznej oraz stworzenie środowiska opartego na równości, integracji i zaangażowaniu pracowników. </w:t>
      </w:r>
    </w:p>
    <w:p w14:paraId="6339E1AD" w14:textId="77777777" w:rsidR="00DD1772" w:rsidRDefault="00DD1772" w:rsidP="00DD1772">
      <w:pPr>
        <w:spacing w:after="0" w:line="240" w:lineRule="auto"/>
        <w:jc w:val="both"/>
      </w:pPr>
      <w:r>
        <w:t>Powinny zawierać tematykę, w ramach której pracodawcy i pracownicy zostaną wyposażeni w wiedzę i umiejętności m.in.:</w:t>
      </w:r>
    </w:p>
    <w:p w14:paraId="3E938AF5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-</w:t>
      </w:r>
      <w:r>
        <w:t xml:space="preserve"> do rozpoznawania, rozumienia i przeciwdziałania </w:t>
      </w:r>
      <w:proofErr w:type="spellStart"/>
      <w:r>
        <w:t>mobbingowi</w:t>
      </w:r>
      <w:proofErr w:type="spellEnd"/>
      <w:r>
        <w:t xml:space="preserve"> w miejscu pracy, co zwiększy ich uważność na sposób komunikacji i budowania relacji w ich zespołach;</w:t>
      </w:r>
    </w:p>
    <w:p w14:paraId="3D469C11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>
        <w:t xml:space="preserve">dotyczące różnych form </w:t>
      </w:r>
      <w:proofErr w:type="spellStart"/>
      <w:r>
        <w:t>mobbingu</w:t>
      </w:r>
      <w:proofErr w:type="spellEnd"/>
      <w:r>
        <w:t xml:space="preserve">, jak zrozumieć jego wpływ na zespół oraz jak skutecznie reagować i zapobiegać sytuacjom o charakterze </w:t>
      </w:r>
      <w:proofErr w:type="spellStart"/>
      <w:r>
        <w:t>mobbingu</w:t>
      </w:r>
      <w:proofErr w:type="spellEnd"/>
      <w:r>
        <w:t xml:space="preserve"> w przyszłości;</w:t>
      </w:r>
    </w:p>
    <w:p w14:paraId="58DE0174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>
        <w:t>rozpoznawania/uważności (szczególnie menedżerowie/pracodawcy) na zachowania i relacje w zespołach;</w:t>
      </w:r>
    </w:p>
    <w:p w14:paraId="57EAB1B4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>
        <w:t>do promowania bezpiecznego i wspierającego środowiska pracy;</w:t>
      </w:r>
    </w:p>
    <w:p w14:paraId="61B03C2D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>
        <w:t xml:space="preserve">na temat skutków społecznych i prawnych </w:t>
      </w:r>
      <w:proofErr w:type="spellStart"/>
      <w:r>
        <w:t>mobbingu</w:t>
      </w:r>
      <w:proofErr w:type="spellEnd"/>
      <w:r>
        <w:t xml:space="preserve"> lub dyskryminacji;</w:t>
      </w:r>
    </w:p>
    <w:p w14:paraId="410178DE" w14:textId="77777777" w:rsidR="00DD1772" w:rsidRDefault="00DD1772" w:rsidP="00DD1772">
      <w:pPr>
        <w:spacing w:after="0" w:line="240" w:lineRule="auto"/>
        <w:jc w:val="both"/>
      </w:pPr>
      <w:r>
        <w:t>- dotyczące wdrażania procedur przeciwdziałania i reagowania na przypadki nieprawidłowości.</w:t>
      </w:r>
    </w:p>
    <w:p w14:paraId="7086B36A" w14:textId="77777777" w:rsidR="00DD1772" w:rsidRDefault="00DD1772" w:rsidP="00DD1772">
      <w:pPr>
        <w:spacing w:after="0" w:line="240" w:lineRule="auto"/>
        <w:jc w:val="both"/>
      </w:pPr>
      <w:r>
        <w:t>Priorytet ten ma również zachęcać do tworzenia i oferuje wsparcie w zakresie zasad</w:t>
      </w:r>
    </w:p>
    <w:p w14:paraId="7A9DD062" w14:textId="77777777" w:rsidR="00DD1772" w:rsidRDefault="00DD1772" w:rsidP="00DD1772">
      <w:pPr>
        <w:spacing w:after="0" w:line="240" w:lineRule="auto"/>
        <w:jc w:val="both"/>
      </w:pPr>
      <w:r>
        <w:t>funkcjonowania i działania rad pracowniczych – na poziomie unijnym i poszczególnych krajów</w:t>
      </w:r>
    </w:p>
    <w:p w14:paraId="13502894" w14:textId="77777777" w:rsidR="00DD1772" w:rsidRDefault="00DD1772" w:rsidP="00DD1772">
      <w:pPr>
        <w:spacing w:after="0" w:line="240" w:lineRule="auto"/>
        <w:jc w:val="both"/>
      </w:pPr>
      <w:r>
        <w:t>UE. Ma pomóc znaleźć odpowiedź na pytanie jak promować reprezentację pracowniczą w</w:t>
      </w:r>
    </w:p>
    <w:p w14:paraId="05317BAD" w14:textId="77777777" w:rsidR="00DD1772" w:rsidRDefault="00DD1772" w:rsidP="00DD1772">
      <w:pPr>
        <w:spacing w:after="0" w:line="240" w:lineRule="auto"/>
        <w:jc w:val="both"/>
      </w:pPr>
      <w:r>
        <w:t>postaci rad pracowniczych w Polsce.</w:t>
      </w:r>
    </w:p>
    <w:p w14:paraId="56626161" w14:textId="77777777" w:rsidR="00DD1772" w:rsidRPr="00292E8C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 xml:space="preserve">Priorytet adresowany do wszystkich zainteresowanych pracodawców. </w:t>
      </w:r>
    </w:p>
    <w:p w14:paraId="173EB5A9" w14:textId="77777777" w:rsidR="00DD1772" w:rsidRDefault="00DD1772" w:rsidP="00DD1772">
      <w:pPr>
        <w:spacing w:after="0" w:line="240" w:lineRule="auto"/>
      </w:pPr>
    </w:p>
    <w:p w14:paraId="5BCBCBB1" w14:textId="77777777" w:rsidR="00DD1772" w:rsidRDefault="00DD1772" w:rsidP="00DD1772">
      <w:pPr>
        <w:spacing w:after="0" w:line="240" w:lineRule="auto"/>
        <w:jc w:val="both"/>
        <w:rPr>
          <w:b/>
          <w:bCs/>
        </w:rPr>
      </w:pPr>
      <w:r w:rsidRPr="00292E8C">
        <w:rPr>
          <w:b/>
          <w:bCs/>
        </w:rPr>
        <w:t>5) Promowanie i wspieranie zdrowia psychicznego oraz tworzenie przyjaznych środowisk pracy poprzez</w:t>
      </w:r>
      <w:r>
        <w:rPr>
          <w:b/>
          <w:bCs/>
        </w:rPr>
        <w:t xml:space="preserve"> </w:t>
      </w:r>
      <w:r w:rsidRPr="00292E8C">
        <w:rPr>
          <w:b/>
          <w:bCs/>
        </w:rPr>
        <w:t>m.in. szkolenia z zakresu zarządzania wiekiem, radzenia sobie ze stresem, pozytywnej psychologii,</w:t>
      </w:r>
      <w:r>
        <w:rPr>
          <w:b/>
          <w:bCs/>
        </w:rPr>
        <w:t xml:space="preserve"> </w:t>
      </w:r>
      <w:r w:rsidRPr="00292E8C">
        <w:rPr>
          <w:b/>
          <w:bCs/>
        </w:rPr>
        <w:t>dobrostanu psychicznego oraz budowania zdrowej i różnorodnej kultury organizacyjnej.</w:t>
      </w:r>
    </w:p>
    <w:p w14:paraId="34522117" w14:textId="77777777" w:rsidR="00DD1772" w:rsidRDefault="00DD1772" w:rsidP="00DD1772">
      <w:pPr>
        <w:spacing w:after="0" w:line="240" w:lineRule="auto"/>
        <w:jc w:val="both"/>
      </w:pPr>
    </w:p>
    <w:p w14:paraId="4DCC3663" w14:textId="77777777" w:rsidR="00DD1772" w:rsidRDefault="00DD1772" w:rsidP="00DD1772">
      <w:pPr>
        <w:spacing w:after="0" w:line="240" w:lineRule="auto"/>
        <w:jc w:val="both"/>
      </w:pPr>
      <w:r>
        <w:t xml:space="preserve">Wobec pogłębiającego się problemu  związanego z szeroko pojętym zdrowiem psychicznym osób czynnych zawodowo istotne jest zadbanie o sprawne funkcjonowanie w tym obszarze zarówno pracodawców jak i pracowników. </w:t>
      </w:r>
    </w:p>
    <w:p w14:paraId="2E4F554C" w14:textId="77777777" w:rsidR="00DD1772" w:rsidRDefault="00DD1772" w:rsidP="00DD1772">
      <w:pPr>
        <w:spacing w:after="0" w:line="240" w:lineRule="auto"/>
        <w:jc w:val="both"/>
      </w:pPr>
      <w:r w:rsidRPr="00292E8C">
        <w:lastRenderedPageBreak/>
        <w:t xml:space="preserve">Priorytet </w:t>
      </w:r>
      <w:r>
        <w:t>oferuje możliwość uzyskania wsparcia szkoleniowego mającego na celu poprawę w zakresie szeroko pojętego zdrowia psychicznego.</w:t>
      </w:r>
    </w:p>
    <w:p w14:paraId="34881C94" w14:textId="77777777" w:rsidR="00DD1772" w:rsidRDefault="00DD1772" w:rsidP="00DD1772">
      <w:pPr>
        <w:spacing w:after="0" w:line="240" w:lineRule="auto"/>
        <w:jc w:val="both"/>
      </w:pPr>
      <w:r>
        <w:t>Szkolenia mogą obejmować zakres tematów związanych z  promowaniem i wspieraniem zdrowia psychicznego oraz tworzeniem przyjaznych środowisk pracy np. szkolenia z organizacji pracy, elastycznych form pracy.</w:t>
      </w:r>
    </w:p>
    <w:p w14:paraId="64BD16AE" w14:textId="77777777" w:rsidR="00DD1772" w:rsidRDefault="00DD1772" w:rsidP="00DD1772">
      <w:pPr>
        <w:spacing w:after="0" w:line="240" w:lineRule="auto"/>
        <w:jc w:val="both"/>
      </w:pPr>
      <w:r>
        <w:t>W zakresie tematycznym szkoleń mogą znaleźć się następujące zagadnienia:</w:t>
      </w:r>
    </w:p>
    <w:p w14:paraId="451C04E6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-</w:t>
      </w:r>
      <w:r>
        <w:t xml:space="preserve"> rola pracodawcy w wspieraniu zdrowia psychicznego;</w:t>
      </w:r>
    </w:p>
    <w:p w14:paraId="5EF4D6C7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>
        <w:t>przyczyny i skutki stresu zawodowego, wypalenia zawodowego oraz radzenia sobie z nimi;</w:t>
      </w:r>
    </w:p>
    <w:p w14:paraId="71E0675B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>
        <w:t>skuteczna komunikacja w zespole, budowanie otwartego środowiska pracy tworzenie przyjaznego środowiska pracy;</w:t>
      </w:r>
    </w:p>
    <w:p w14:paraId="48EA10CF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>
        <w:t>różnorodność w miejscu pracy, integracja pracowników wywodzących się z różnych grup pokoleniowych;</w:t>
      </w:r>
    </w:p>
    <w:p w14:paraId="5693ADB0" w14:textId="77777777" w:rsidR="00DD1772" w:rsidRDefault="00DD1772" w:rsidP="00DD177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 xml:space="preserve">- </w:t>
      </w:r>
      <w:r>
        <w:t>promowanie równowagi między życiem zawodowym a prywatnym, zdrowego stylu życia, technik relaksacyjnych i innych metod radzenia sobie ze stresem.</w:t>
      </w:r>
    </w:p>
    <w:p w14:paraId="7A7B26A1" w14:textId="77777777" w:rsidR="00DD1772" w:rsidRPr="00292E8C" w:rsidRDefault="00DD1772" w:rsidP="00DD1772">
      <w:pPr>
        <w:jc w:val="both"/>
      </w:pPr>
    </w:p>
    <w:p w14:paraId="6185EBB1" w14:textId="77777777" w:rsidR="00DD1772" w:rsidRDefault="00DD1772" w:rsidP="00DD1772">
      <w:pPr>
        <w:spacing w:after="0" w:line="240" w:lineRule="auto"/>
        <w:rPr>
          <w:b/>
          <w:bCs/>
        </w:rPr>
      </w:pPr>
      <w:r w:rsidRPr="005A0F64">
        <w:rPr>
          <w:b/>
          <w:bCs/>
        </w:rPr>
        <w:t>6) Wsparcie cudzoziemców, w szczególności w zakresie zdobywania wiedzy na temat polskiego prawa</w:t>
      </w:r>
      <w:r>
        <w:rPr>
          <w:b/>
          <w:bCs/>
        </w:rPr>
        <w:t xml:space="preserve"> </w:t>
      </w:r>
      <w:r w:rsidRPr="005A0F64">
        <w:rPr>
          <w:b/>
          <w:bCs/>
        </w:rPr>
        <w:t>pracy i integracji tych osób na rynku pracy.</w:t>
      </w:r>
    </w:p>
    <w:p w14:paraId="69AFD338" w14:textId="77777777" w:rsidR="00DD1772" w:rsidRDefault="00DD1772" w:rsidP="00DD1772">
      <w:pPr>
        <w:spacing w:after="0" w:line="240" w:lineRule="auto"/>
        <w:rPr>
          <w:b/>
          <w:bCs/>
        </w:rPr>
      </w:pPr>
    </w:p>
    <w:p w14:paraId="1946F718" w14:textId="77777777" w:rsidR="00DD1772" w:rsidRPr="008C407B" w:rsidRDefault="00DD1772" w:rsidP="00DD1772">
      <w:pPr>
        <w:spacing w:after="0" w:line="240" w:lineRule="auto"/>
      </w:pPr>
      <w:r w:rsidRPr="008C407B">
        <w:rPr>
          <w:rFonts w:eastAsia="Calibri" w:cstheme="minorHAnsi"/>
          <w:kern w:val="0"/>
          <w14:ligatures w14:val="none"/>
        </w:rPr>
        <w:t xml:space="preserve">W ramach tego priorytetu może być finansowane kształcenie ustawiczne </w:t>
      </w:r>
      <w:r>
        <w:rPr>
          <w:rFonts w:eastAsia="Calibri" w:cstheme="minorHAnsi"/>
          <w:kern w:val="0"/>
          <w14:ligatures w14:val="none"/>
        </w:rPr>
        <w:t xml:space="preserve">tylko </w:t>
      </w:r>
      <w:r w:rsidRPr="008C407B">
        <w:rPr>
          <w:rFonts w:eastAsia="Calibri" w:cstheme="minorHAnsi"/>
          <w:kern w:val="0"/>
          <w14:ligatures w14:val="none"/>
        </w:rPr>
        <w:t xml:space="preserve">cudzoziemców związane ze specyficznymi potrzebami szkoleniowymi, jakie mają pracownicy cudzoziemscy m. in. potrzebą doskonalenia znajomości języka polskiego </w:t>
      </w:r>
      <w:r w:rsidRPr="008C407B">
        <w:t xml:space="preserve">oraz innych niezbędnych do pracy języków, szczególnie w kontekście słownictwa specyficznego dla danego zawodu/ branży, </w:t>
      </w:r>
      <w:r>
        <w:t xml:space="preserve"> </w:t>
      </w:r>
      <w:r w:rsidRPr="008C407B">
        <w:t>doskonalenie wiedzy z zakresu specyfiki polskich i unijnych regulacji dotyczących wykonywania określonego zawodu; rozwój miękkich kompetencji, w tym komunikacyjnych, uwzględniających konieczność dostosowania się do kultury organizacyjnej polskich przedsiębiorstw i innych podmiotów, zatrudniających cudzoziemców.</w:t>
      </w:r>
    </w:p>
    <w:p w14:paraId="52820ED6" w14:textId="77777777" w:rsidR="00DD1772" w:rsidRPr="008C407B" w:rsidRDefault="00DD1772" w:rsidP="00DD1772">
      <w:pPr>
        <w:spacing w:after="0" w:line="240" w:lineRule="auto"/>
      </w:pPr>
      <w:r w:rsidRPr="008C407B">
        <w:t>Każdy pracodawca może określić własną listę potrzeb.</w:t>
      </w:r>
    </w:p>
    <w:p w14:paraId="62800DA5" w14:textId="77777777" w:rsidR="00DD1772" w:rsidRPr="008C407B" w:rsidRDefault="00DD1772" w:rsidP="00DD1772">
      <w:pPr>
        <w:spacing w:after="0" w:line="240" w:lineRule="auto"/>
        <w:rPr>
          <w:b/>
          <w:bCs/>
        </w:rPr>
      </w:pPr>
    </w:p>
    <w:p w14:paraId="65984DFA" w14:textId="77777777" w:rsidR="00DD1772" w:rsidRPr="008C407B" w:rsidRDefault="00DD1772" w:rsidP="00DD1772">
      <w:pPr>
        <w:spacing w:after="0" w:line="240" w:lineRule="auto"/>
        <w:rPr>
          <w:b/>
          <w:bCs/>
        </w:rPr>
      </w:pPr>
      <w:r w:rsidRPr="008C407B">
        <w:rPr>
          <w:b/>
          <w:bCs/>
        </w:rPr>
        <w:t>7) Wsparcie rozwoju umiejętności i kwalifikacji niezbędnych w sektorze usług zdrowotnych</w:t>
      </w:r>
    </w:p>
    <w:p w14:paraId="1EF46443" w14:textId="77777777" w:rsidR="00DD1772" w:rsidRDefault="00DD1772" w:rsidP="00DD1772">
      <w:pPr>
        <w:spacing w:after="0" w:line="240" w:lineRule="auto"/>
        <w:rPr>
          <w:b/>
          <w:bCs/>
        </w:rPr>
      </w:pPr>
      <w:r w:rsidRPr="008C407B">
        <w:rPr>
          <w:b/>
          <w:bCs/>
        </w:rPr>
        <w:t>i opiekuńczych.</w:t>
      </w:r>
    </w:p>
    <w:p w14:paraId="20B71C28" w14:textId="77777777" w:rsidR="00DD1772" w:rsidRPr="008C407B" w:rsidRDefault="00DD1772" w:rsidP="00DD1772">
      <w:pPr>
        <w:spacing w:after="0" w:line="240" w:lineRule="auto"/>
        <w:jc w:val="both"/>
      </w:pPr>
    </w:p>
    <w:p w14:paraId="2BBFFEC1" w14:textId="77777777" w:rsidR="00DD1772" w:rsidRDefault="00DD1772" w:rsidP="00DD1772">
      <w:pPr>
        <w:spacing w:after="0" w:line="240" w:lineRule="auto"/>
        <w:jc w:val="both"/>
      </w:pPr>
      <w:r w:rsidRPr="008C407B">
        <w:t>Celem wprowadzenia niniejszego priorytetu jest chęć wsparcia osób zatrudnionych</w:t>
      </w:r>
      <w:r>
        <w:t xml:space="preserve"> </w:t>
      </w:r>
      <w:r w:rsidRPr="008C407B">
        <w:t>w sektorze usług zdrowotnych i opiekuńczyc</w:t>
      </w:r>
      <w:r>
        <w:t>h.</w:t>
      </w:r>
    </w:p>
    <w:p w14:paraId="7F9CEBE1" w14:textId="77777777" w:rsidR="00DD1772" w:rsidRDefault="00DD1772" w:rsidP="00DD1772">
      <w:pPr>
        <w:spacing w:after="0" w:line="240" w:lineRule="auto"/>
        <w:jc w:val="both"/>
      </w:pPr>
      <w:r>
        <w:t>Warunkiem skorzystania z dostępnych środków jest oświadczenie pracodawcy o konieczności</w:t>
      </w:r>
    </w:p>
    <w:p w14:paraId="421218AA" w14:textId="77777777" w:rsidR="00DD1772" w:rsidRDefault="00DD1772" w:rsidP="00DD1772">
      <w:pPr>
        <w:spacing w:after="0" w:line="240" w:lineRule="auto"/>
        <w:jc w:val="both"/>
      </w:pPr>
      <w:r>
        <w:t xml:space="preserve">odbycia wnioskowanego szkolenia lub nabycia określonych umiejętności z zakresu usług zdrowotnych i opiekuńczych. </w:t>
      </w:r>
    </w:p>
    <w:p w14:paraId="4B490A66" w14:textId="77777777" w:rsidR="00DD1772" w:rsidRPr="008C407B" w:rsidRDefault="00DD1772" w:rsidP="00DD1772">
      <w:pPr>
        <w:spacing w:after="0" w:line="240" w:lineRule="auto"/>
        <w:jc w:val="both"/>
      </w:pPr>
      <w:r>
        <w:t>Dostęp do priorytetu ma każdy pracodawca posiadający PKD w Sekcji Q tj. Opieka zdrowotna i pomoc społeczna w działach 86 – Opieka zdrowotna, 87- Pomoc społeczna z zakwaterowaniem, 88 – Pomoc społeczna bez zakwaterowania. W ramach tego priorytetu można dofinansować dopuszczalne ustawą formy kształcenia ustawicznego bezpośrednio związane z szeroko pojętą opieką zdrowotną czy opieką społeczną. Należy jednak pamiętać, że w ramach KFS nie można finansować tych samych szkoleń, na które przeznaczone są inne środki publiczne np. środki na specjalizacje pielęgniarek i położnych.</w:t>
      </w:r>
    </w:p>
    <w:p w14:paraId="4C20C053" w14:textId="77777777" w:rsidR="00DD1772" w:rsidRDefault="00DD1772" w:rsidP="00DD1772">
      <w:pPr>
        <w:rPr>
          <w:b/>
          <w:bCs/>
        </w:rPr>
      </w:pPr>
    </w:p>
    <w:p w14:paraId="1F7EFEC1" w14:textId="77777777" w:rsidR="00DD1772" w:rsidRPr="008C407B" w:rsidRDefault="00DD1772" w:rsidP="00DD1772">
      <w:pPr>
        <w:rPr>
          <w:b/>
          <w:bCs/>
        </w:rPr>
      </w:pPr>
      <w:r w:rsidRPr="008C407B">
        <w:rPr>
          <w:b/>
          <w:bCs/>
        </w:rPr>
        <w:t>8) Rozwój umiejętności cyfrowych.</w:t>
      </w:r>
    </w:p>
    <w:p w14:paraId="65FFFA58" w14:textId="77777777" w:rsidR="00DD1772" w:rsidRPr="003051D9" w:rsidRDefault="00DD1772" w:rsidP="00DD1772">
      <w:pPr>
        <w:spacing w:line="240" w:lineRule="auto"/>
        <w:jc w:val="both"/>
        <w:rPr>
          <w:rFonts w:cstheme="minorHAnsi"/>
          <w:kern w:val="0"/>
          <w14:ligatures w14:val="none"/>
        </w:rPr>
      </w:pPr>
      <w:r w:rsidRPr="003051D9">
        <w:rPr>
          <w:rFonts w:cstheme="minorHAnsi"/>
          <w:kern w:val="0"/>
          <w14:ligatures w14:val="none"/>
        </w:rPr>
        <w:t>Wnioskodawca w uzasadnieniu powinien wykazać, że posiadanie konkretnych umiejętności cyfrowych, które objęte są tematyką wnioskowanego szkolenia, jest powiązane z pracą wykonywaną przez osobę kierowaną na szkolenie.</w:t>
      </w:r>
    </w:p>
    <w:p w14:paraId="2833DFB5" w14:textId="77777777" w:rsidR="00DD1772" w:rsidRPr="003051D9" w:rsidRDefault="00DD1772" w:rsidP="00DD1772">
      <w:pPr>
        <w:spacing w:line="240" w:lineRule="auto"/>
        <w:jc w:val="both"/>
        <w:rPr>
          <w:rFonts w:cstheme="minorHAnsi"/>
          <w:kern w:val="0"/>
          <w14:ligatures w14:val="none"/>
        </w:rPr>
      </w:pPr>
      <w:r w:rsidRPr="003051D9">
        <w:rPr>
          <w:rFonts w:cstheme="minorHAnsi"/>
          <w:kern w:val="0"/>
          <w14:ligatures w14:val="none"/>
        </w:rPr>
        <w:lastRenderedPageBreak/>
        <w:t>Kompetencje cyfrowe to obsługa komputerów i programów oraz zagadnienia związane z komunikowaniem się, umiejętnościami korzystania z mediów, umiejętnościami wyszukiwania i korzystania z różnego typu danych w formie elektronicznej czy cyberprzestępstwem.</w:t>
      </w:r>
    </w:p>
    <w:p w14:paraId="6919DF25" w14:textId="77777777" w:rsidR="00DD1772" w:rsidRPr="0047267B" w:rsidRDefault="00DD1772" w:rsidP="00DD1772">
      <w:pPr>
        <w:spacing w:line="240" w:lineRule="auto"/>
        <w:jc w:val="both"/>
        <w:rPr>
          <w:rFonts w:cstheme="minorHAnsi"/>
          <w:kern w:val="0"/>
          <w14:ligatures w14:val="none"/>
        </w:rPr>
      </w:pPr>
      <w:r w:rsidRPr="003051D9">
        <w:rPr>
          <w:rFonts w:cstheme="minorHAnsi"/>
          <w:kern w:val="0"/>
          <w14:ligatures w14:val="none"/>
        </w:rPr>
        <w:t>Priorytet dotyczy wszystkich pracodawców bez względu na posiadane PKD.</w:t>
      </w:r>
    </w:p>
    <w:p w14:paraId="209277B8" w14:textId="77777777" w:rsidR="00DD1772" w:rsidRDefault="00DD1772" w:rsidP="00DD1772">
      <w:pPr>
        <w:rPr>
          <w:b/>
          <w:bCs/>
        </w:rPr>
      </w:pPr>
      <w:r w:rsidRPr="0047267B">
        <w:rPr>
          <w:b/>
          <w:bCs/>
        </w:rPr>
        <w:t>9) Wsparcie rozwoju umiejętności związanych z transformacją energetyczną.</w:t>
      </w:r>
    </w:p>
    <w:p w14:paraId="2E078930" w14:textId="77777777" w:rsidR="00DD1772" w:rsidRDefault="00DD1772" w:rsidP="00DD1772">
      <w:pPr>
        <w:spacing w:after="0" w:line="240" w:lineRule="auto"/>
        <w:jc w:val="both"/>
      </w:pPr>
      <w:r>
        <w:t>Transformacja energetyczna to długotrwały proces modyfikacji gospodarki i sieci energetycznych aby były mniej zależne od paliw kopalnianych i bardziej efektywne energetycznie co w konsekwencji ma zmniejszać szkody dla klimatu, zdrowia publicznego i środowiska naturalnego.</w:t>
      </w:r>
    </w:p>
    <w:p w14:paraId="7226CAE1" w14:textId="77777777" w:rsidR="00DD1772" w:rsidRDefault="00DD1772" w:rsidP="00DD1772">
      <w:pPr>
        <w:spacing w:after="0" w:line="240" w:lineRule="auto"/>
        <w:jc w:val="both"/>
      </w:pPr>
      <w:r w:rsidRPr="0047267B">
        <w:t>Priorytet niniejszy adresowany jest do wszystkich pracodawców, którzy w jakikolwiek sposób</w:t>
      </w:r>
      <w:r>
        <w:t xml:space="preserve"> </w:t>
      </w:r>
      <w:r w:rsidRPr="0047267B">
        <w:t>chcą przyczynić się do realizacji założonych celów transformacji energetycznej np. przejścia z</w:t>
      </w:r>
      <w:r>
        <w:t xml:space="preserve"> </w:t>
      </w:r>
      <w:r w:rsidRPr="0047267B">
        <w:t>energetyki tradycyjnej, na przykład węglowej, do bardziej przyjaznych środowisku źródeł</w:t>
      </w:r>
      <w:r>
        <w:t xml:space="preserve"> </w:t>
      </w:r>
      <w:r w:rsidRPr="0047267B">
        <w:t>energii np. wiatraków czy farm fotowoltaicznych. Będą również mogły być finansowane</w:t>
      </w:r>
      <w:r>
        <w:t xml:space="preserve"> </w:t>
      </w:r>
      <w:r w:rsidRPr="0047267B">
        <w:t>szkolenia mające na celu rozwój tzw. zielonych kompetencji czyli zestawu umiejętnoś</w:t>
      </w:r>
      <w:r>
        <w:t xml:space="preserve">ci </w:t>
      </w:r>
      <w:r w:rsidRPr="0047267B">
        <w:t>pozwalających na działania na rzecz</w:t>
      </w:r>
      <w:r>
        <w:t xml:space="preserve"> </w:t>
      </w:r>
      <w:r w:rsidRPr="0047267B">
        <w:t>zrównoważonego rozwoju. W ramach tego priorytetu</w:t>
      </w:r>
      <w:r>
        <w:t xml:space="preserve"> </w:t>
      </w:r>
      <w:r w:rsidRPr="0047267B">
        <w:t>mogą być finansowane również szkolenia w obszarze szeroko pojętej ekologii.</w:t>
      </w:r>
    </w:p>
    <w:p w14:paraId="33AE83AE" w14:textId="77777777" w:rsidR="00413B42" w:rsidRDefault="00413B42" w:rsidP="00DD1772">
      <w:pPr>
        <w:spacing w:after="0" w:line="240" w:lineRule="auto"/>
        <w:jc w:val="both"/>
      </w:pPr>
    </w:p>
    <w:p w14:paraId="27815F89" w14:textId="185A8D1F" w:rsidR="00413B42" w:rsidRDefault="00413B42" w:rsidP="00DD1772">
      <w:pPr>
        <w:spacing w:after="0" w:line="240" w:lineRule="auto"/>
        <w:jc w:val="both"/>
        <w:rPr>
          <w:b/>
          <w:bCs/>
        </w:rPr>
      </w:pPr>
      <w:r w:rsidRPr="00413B42">
        <w:rPr>
          <w:b/>
          <w:bCs/>
        </w:rPr>
        <w:t xml:space="preserve">14) Wsparcie rozwoju umiejętności i kwalifikacji w związku z wprowadzaniem elastycznego czasu pracy z zachowaniem poziomu wynagrodzenia lub rozpowszechnianiem w firmach </w:t>
      </w:r>
      <w:proofErr w:type="spellStart"/>
      <w:r w:rsidRPr="00413B42">
        <w:rPr>
          <w:b/>
          <w:bCs/>
        </w:rPr>
        <w:t>work</w:t>
      </w:r>
      <w:proofErr w:type="spellEnd"/>
      <w:r w:rsidRPr="00413B42">
        <w:rPr>
          <w:b/>
          <w:bCs/>
        </w:rPr>
        <w:t xml:space="preserve">-life </w:t>
      </w:r>
      <w:proofErr w:type="spellStart"/>
      <w:r w:rsidRPr="00413B42">
        <w:rPr>
          <w:b/>
          <w:bCs/>
        </w:rPr>
        <w:t>balance</w:t>
      </w:r>
      <w:proofErr w:type="spellEnd"/>
      <w:r w:rsidRPr="00413B42">
        <w:rPr>
          <w:b/>
          <w:bCs/>
        </w:rPr>
        <w:t xml:space="preserve"> – priorytet dodany w kwietniu 2025 r.</w:t>
      </w:r>
    </w:p>
    <w:p w14:paraId="678153DE" w14:textId="77777777" w:rsidR="00413B42" w:rsidRDefault="00413B42" w:rsidP="00DD1772">
      <w:pPr>
        <w:spacing w:after="0" w:line="240" w:lineRule="auto"/>
        <w:jc w:val="both"/>
        <w:rPr>
          <w:b/>
          <w:bCs/>
        </w:rPr>
      </w:pPr>
    </w:p>
    <w:p w14:paraId="63612AF6" w14:textId="4535AB00" w:rsidR="00413B42" w:rsidRPr="00925742" w:rsidRDefault="00413B42" w:rsidP="00925742">
      <w:pPr>
        <w:spacing w:after="0" w:line="240" w:lineRule="auto"/>
        <w:jc w:val="both"/>
      </w:pPr>
      <w:r w:rsidRPr="00925742">
        <w:t xml:space="preserve">W ramach  tego priorytetu pracodawcy w kontekście wprowadzania elastycznego czasu pracy i rozpowszechniania zasad </w:t>
      </w:r>
      <w:proofErr w:type="spellStart"/>
      <w:r w:rsidRPr="00925742">
        <w:t>wrok</w:t>
      </w:r>
      <w:proofErr w:type="spellEnd"/>
      <w:r w:rsidRPr="00925742">
        <w:t xml:space="preserve">-life </w:t>
      </w:r>
      <w:proofErr w:type="spellStart"/>
      <w:r w:rsidRPr="00925742">
        <w:t>balance</w:t>
      </w:r>
      <w:proofErr w:type="spellEnd"/>
      <w:r w:rsidRPr="00925742">
        <w:t xml:space="preserve"> mogą zaproponować różnorodne </w:t>
      </w:r>
      <w:r w:rsidR="00925742" w:rsidRPr="00925742">
        <w:t>szkolenia</w:t>
      </w:r>
      <w:r w:rsidRPr="00925742">
        <w:t xml:space="preserve"> i wsparcie dla pracowników uwzględniając w ich </w:t>
      </w:r>
      <w:r w:rsidR="00925742" w:rsidRPr="00925742">
        <w:t>tematyce</w:t>
      </w:r>
      <w:r w:rsidRPr="00925742">
        <w:t xml:space="preserve"> </w:t>
      </w:r>
      <w:r w:rsidR="00925742" w:rsidRPr="00925742">
        <w:t>k</w:t>
      </w:r>
      <w:r w:rsidR="00925742">
        <w:t>ilk</w:t>
      </w:r>
      <w:r w:rsidR="00925742" w:rsidRPr="00925742">
        <w:t>a</w:t>
      </w:r>
      <w:r w:rsidRPr="00925742">
        <w:t xml:space="preserve"> kluczowych obszarów takich jak:</w:t>
      </w:r>
    </w:p>
    <w:p w14:paraId="753F9A78" w14:textId="028E6E79" w:rsidR="00413B42" w:rsidRPr="00925742" w:rsidRDefault="00413B42" w:rsidP="00925742">
      <w:pPr>
        <w:spacing w:after="0" w:line="240" w:lineRule="auto"/>
        <w:jc w:val="both"/>
      </w:pPr>
      <w:r w:rsidRPr="00925742">
        <w:t xml:space="preserve">- </w:t>
      </w:r>
      <w:r w:rsidR="00925742" w:rsidRPr="00925742">
        <w:t>zarz</w:t>
      </w:r>
      <w:r w:rsidR="00925742">
        <w:t>ą</w:t>
      </w:r>
      <w:r w:rsidR="00925742" w:rsidRPr="00925742">
        <w:t>dzanie cza</w:t>
      </w:r>
      <w:r w:rsidR="00925742">
        <w:t>s</w:t>
      </w:r>
      <w:r w:rsidR="00925742" w:rsidRPr="00925742">
        <w:t>em i priorytetami,</w:t>
      </w:r>
    </w:p>
    <w:p w14:paraId="7EA7D5C8" w14:textId="127F5F45" w:rsidR="00925742" w:rsidRPr="00925742" w:rsidRDefault="00925742" w:rsidP="00925742">
      <w:pPr>
        <w:spacing w:after="0" w:line="240" w:lineRule="auto"/>
        <w:jc w:val="both"/>
      </w:pPr>
      <w:r w:rsidRPr="00925742">
        <w:t>Komunikacja w elastycznym środowisku pracy,</w:t>
      </w:r>
    </w:p>
    <w:p w14:paraId="507F63E1" w14:textId="271446D2" w:rsidR="00925742" w:rsidRPr="00925742" w:rsidRDefault="00925742" w:rsidP="00925742">
      <w:pPr>
        <w:spacing w:after="0" w:line="240" w:lineRule="auto"/>
        <w:jc w:val="both"/>
      </w:pPr>
      <w:r w:rsidRPr="00925742">
        <w:t xml:space="preserve">- </w:t>
      </w:r>
      <w:proofErr w:type="spellStart"/>
      <w:r w:rsidRPr="00925742">
        <w:t>work</w:t>
      </w:r>
      <w:proofErr w:type="spellEnd"/>
      <w:r w:rsidRPr="00925742">
        <w:t xml:space="preserve">-life </w:t>
      </w:r>
      <w:proofErr w:type="spellStart"/>
      <w:r w:rsidRPr="00925742">
        <w:t>balance</w:t>
      </w:r>
      <w:proofErr w:type="spellEnd"/>
      <w:r w:rsidRPr="00925742">
        <w:t xml:space="preserve"> i jego znaczenie,</w:t>
      </w:r>
    </w:p>
    <w:p w14:paraId="6C446270" w14:textId="43C85532" w:rsidR="00925742" w:rsidRPr="00925742" w:rsidRDefault="00925742" w:rsidP="00925742">
      <w:pPr>
        <w:spacing w:after="0" w:line="240" w:lineRule="auto"/>
        <w:jc w:val="both"/>
      </w:pPr>
      <w:r w:rsidRPr="00925742">
        <w:t>- wykorzystanie technologii w elastycznym czasie pracy,</w:t>
      </w:r>
    </w:p>
    <w:p w14:paraId="31AA260E" w14:textId="78188B0F" w:rsidR="00925742" w:rsidRPr="00925742" w:rsidRDefault="00925742" w:rsidP="00925742">
      <w:pPr>
        <w:spacing w:after="0" w:line="240" w:lineRule="auto"/>
        <w:jc w:val="both"/>
      </w:pPr>
      <w:r w:rsidRPr="00925742">
        <w:t>- motywowanie i wspieranie pracowników,</w:t>
      </w:r>
    </w:p>
    <w:p w14:paraId="50BA4C2D" w14:textId="08950D92" w:rsidR="00925742" w:rsidRPr="00925742" w:rsidRDefault="00925742" w:rsidP="00925742">
      <w:pPr>
        <w:spacing w:after="0" w:line="240" w:lineRule="auto"/>
        <w:jc w:val="both"/>
      </w:pPr>
      <w:r w:rsidRPr="00925742">
        <w:t>- zarządzanie efektywnością i wydajnością.</w:t>
      </w:r>
    </w:p>
    <w:p w14:paraId="0075EEF4" w14:textId="777948E3" w:rsidR="00413B42" w:rsidRPr="00925742" w:rsidRDefault="00413B42" w:rsidP="00925742">
      <w:pPr>
        <w:spacing w:after="0" w:line="240" w:lineRule="auto"/>
        <w:jc w:val="both"/>
      </w:pPr>
      <w:r w:rsidRPr="00925742">
        <w:t>Priorytet adresowany jest do wszystkich pracodawców</w:t>
      </w:r>
      <w:r w:rsidR="00925742">
        <w:t>.</w:t>
      </w:r>
      <w:r w:rsidRPr="00925742">
        <w:t xml:space="preserve"> </w:t>
      </w:r>
    </w:p>
    <w:p w14:paraId="40AF6F7E" w14:textId="77777777" w:rsidR="002B150C" w:rsidRDefault="002B150C" w:rsidP="00925742">
      <w:pPr>
        <w:jc w:val="both"/>
      </w:pPr>
    </w:p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23"/>
    <w:rsid w:val="002B150C"/>
    <w:rsid w:val="00413B42"/>
    <w:rsid w:val="00544D23"/>
    <w:rsid w:val="007F3DD6"/>
    <w:rsid w:val="008E7759"/>
    <w:rsid w:val="00925742"/>
    <w:rsid w:val="00A41D47"/>
    <w:rsid w:val="00DD1772"/>
    <w:rsid w:val="00E355A1"/>
    <w:rsid w:val="00F409B3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620"/>
  <w15:chartTrackingRefBased/>
  <w15:docId w15:val="{1A162553-2763-46B1-BD90-80DDD503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772"/>
  </w:style>
  <w:style w:type="paragraph" w:styleId="Nagwek1">
    <w:name w:val="heading 1"/>
    <w:basedOn w:val="Normalny"/>
    <w:next w:val="Normalny"/>
    <w:link w:val="Nagwek1Znak"/>
    <w:uiPriority w:val="9"/>
    <w:qFormat/>
    <w:rsid w:val="00544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D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D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D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D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D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D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D1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mapach-wyniki?map_type=province&amp;province%5B0%5D=5&amp;map_details=counties&amp;relation=1&amp;year%5B0%5D=2025&amp;profession%5B0%5D=8403" TargetMode="External"/><Relationship Id="rId13" Type="http://schemas.openxmlformats.org/officeDocument/2006/relationships/hyperlink" Target="https://barometrzawodow.pl/modul/prognozy-na-mapach-wyniki?map_type=province&amp;province%5B0%5D=5&amp;map_details=counties&amp;relation=1&amp;year%5B0%5D=2025&amp;profession%5B0%5D=8443" TargetMode="External"/><Relationship Id="rId18" Type="http://schemas.openxmlformats.org/officeDocument/2006/relationships/hyperlink" Target="https://barometrzawodow.pl/modul/prognozy-na-mapach-wyniki?map_type=province&amp;province%5B0%5D=5&amp;map_details=counties&amp;relation=1&amp;year%5B0%5D=2025&amp;profession%5B0%5D=8481" TargetMode="External"/><Relationship Id="rId26" Type="http://schemas.openxmlformats.org/officeDocument/2006/relationships/hyperlink" Target="https://barometrzawodow.pl/modul/prognozy-na-mapach-wyniki?map_type=province&amp;province%5B0%5D=5&amp;map_details=counties&amp;relation=1&amp;year%5B0%5D=2025&amp;profession%5B0%5D=84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rometrzawodow.pl/modul/prognozy-na-mapach-wyniki?map_type=province&amp;province%5B0%5D=5&amp;map_details=counties&amp;relation=1&amp;year%5B0%5D=2025&amp;profession%5B0%5D=8444" TargetMode="External"/><Relationship Id="rId7" Type="http://schemas.openxmlformats.org/officeDocument/2006/relationships/hyperlink" Target="https://barometrzawodow.pl/modul/prognozy-na-mapach-wyniki?map_type=province&amp;province%5B0%5D=5&amp;map_details=counties&amp;relation=1&amp;year%5B0%5D=2025&amp;profession%5B0%5D=8454" TargetMode="External"/><Relationship Id="rId12" Type="http://schemas.openxmlformats.org/officeDocument/2006/relationships/hyperlink" Target="https://barometrzawodow.pl/modul/prognozy-na-mapach-wyniki?map_type=province&amp;province%5B0%5D=5&amp;map_details=counties&amp;relation=1&amp;year%5B0%5D=2025&amp;profession%5B0%5D=8549" TargetMode="External"/><Relationship Id="rId17" Type="http://schemas.openxmlformats.org/officeDocument/2006/relationships/hyperlink" Target="https://barometrzawodow.pl/modul/prognozy-na-mapach-wyniki?map_type=province&amp;province%5B0%5D=5&amp;map_details=counties&amp;relation=1&amp;year%5B0%5D=2025&amp;profession%5B0%5D=8543" TargetMode="External"/><Relationship Id="rId25" Type="http://schemas.openxmlformats.org/officeDocument/2006/relationships/hyperlink" Target="https://barometrzawodow.pl/modul/prognozy-na-mapach-wyniki?map_type=province&amp;province%5B0%5D=5&amp;map_details=counties&amp;relation=1&amp;year%5B0%5D=2025&amp;profession%5B0%5D=85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rometrzawodow.pl/modul/prognozy-na-mapach-wyniki?map_type=province&amp;province%5B0%5D=5&amp;map_details=counties&amp;relation=1&amp;year%5B0%5D=2025&amp;profession%5B0%5D=8511" TargetMode="External"/><Relationship Id="rId20" Type="http://schemas.openxmlformats.org/officeDocument/2006/relationships/hyperlink" Target="https://barometrzawodow.pl/modul/prognozy-na-mapach-wyniki?map_type=province&amp;province%5B0%5D=5&amp;map_details=counties&amp;relation=1&amp;year%5B0%5D=2025&amp;profession%5B0%5D=840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arometrzawodow.pl/modul/prognozy-na-mapach-wyniki?map_type=province&amp;province%5B0%5D=5&amp;map_details=counties&amp;relation=1&amp;year%5B0%5D=2025&amp;profession%5B0%5D=8406" TargetMode="External"/><Relationship Id="rId11" Type="http://schemas.openxmlformats.org/officeDocument/2006/relationships/hyperlink" Target="https://barometrzawodow.pl/modul/prognozy-na-mapach-wyniki?map_type=province&amp;province%5B0%5D=5&amp;map_details=counties&amp;relation=1&amp;year%5B0%5D=2025&amp;profession%5B0%5D=8410" TargetMode="External"/><Relationship Id="rId24" Type="http://schemas.openxmlformats.org/officeDocument/2006/relationships/hyperlink" Target="https://barometrzawodow.pl/modul/prognozy-na-mapach-wyniki?map_type=province&amp;province%5B0%5D=5&amp;map_details=counties&amp;relation=1&amp;year%5B0%5D=2025&amp;profession%5B0%5D=8526" TargetMode="External"/><Relationship Id="rId5" Type="http://schemas.openxmlformats.org/officeDocument/2006/relationships/hyperlink" Target="https://barometrzawodow.pl/modul/prognozy-na-mapach-wyniki?map_type=province&amp;province%5B0%5D=5&amp;map_details=counties&amp;relation=1&amp;year%5B0%5D=2025&amp;profession%5B0%5D=8543" TargetMode="External"/><Relationship Id="rId15" Type="http://schemas.openxmlformats.org/officeDocument/2006/relationships/hyperlink" Target="https://barometrzawodow.pl/modul/prognozy-na-mapach-wyniki?map_type=province&amp;province%5B0%5D=5&amp;map_details=counties&amp;relation=1&amp;year%5B0%5D=2025&amp;profession%5B0%5D=8511" TargetMode="External"/><Relationship Id="rId23" Type="http://schemas.openxmlformats.org/officeDocument/2006/relationships/hyperlink" Target="https://barometrzawodow.pl/modul/prognozy-na-mapach-wyniki?map_type=province&amp;province%5B0%5D=5&amp;map_details=counties&amp;relation=1&amp;year%5B0%5D=2025&amp;profession%5B0%5D=8501" TargetMode="External"/><Relationship Id="rId28" Type="http://schemas.openxmlformats.org/officeDocument/2006/relationships/hyperlink" Target="https://barometrzawodow.pl/modul/prognozy-na-mapach-wyniki?map_type=province&amp;province%5B0%5D=5&amp;map_details=counties&amp;relation=1&amp;year%5B0%5D=2025&amp;profession%5B0%5D=8526" TargetMode="External"/><Relationship Id="rId10" Type="http://schemas.openxmlformats.org/officeDocument/2006/relationships/hyperlink" Target="https://barometrzawodow.pl/modul/prognozy-na-mapach-wyniki?map_type=province&amp;province%5B0%5D=5&amp;map_details=counties&amp;relation=1&amp;year%5B0%5D=2025&amp;profession%5B0%5D=8407" TargetMode="External"/><Relationship Id="rId19" Type="http://schemas.openxmlformats.org/officeDocument/2006/relationships/hyperlink" Target="https://barometrzawodow.pl/modul/prognozy-na-mapach-wyniki?map_type=province&amp;province%5B0%5D=5&amp;map_details=counties&amp;relation=1&amp;year%5B0%5D=2025&amp;profession%5B0%5D=85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rometrzawodow.pl/modul/prognozy-na-mapach-wyniki?map_type=province&amp;province%5B0%5D=5&amp;map_details=counties&amp;relation=1&amp;year%5B0%5D=2025&amp;profession%5B0%5D=8409" TargetMode="External"/><Relationship Id="rId14" Type="http://schemas.openxmlformats.org/officeDocument/2006/relationships/hyperlink" Target="https://barometrzawodow.pl/modul/prognozy-na-mapach-wyniki?map_type=province&amp;province%5B0%5D=5&amp;map_details=counties&amp;relation=1&amp;year%5B0%5D=2025&amp;profession%5B0%5D=8420" TargetMode="External"/><Relationship Id="rId22" Type="http://schemas.openxmlformats.org/officeDocument/2006/relationships/hyperlink" Target="https://barometrzawodow.pl/modul/prognozy-na-mapach-wyniki?map_type=province&amp;province%5B0%5D=5&amp;map_details=counties&amp;relation=1&amp;year%5B0%5D=2025&amp;profession%5B0%5D=8549" TargetMode="External"/><Relationship Id="rId27" Type="http://schemas.openxmlformats.org/officeDocument/2006/relationships/hyperlink" Target="https://barometrzawodow.pl/modul/prognozy-na-mapach-wyniki?map_type=province&amp;province%5B0%5D=5&amp;map_details=counties&amp;relation=1&amp;year%5B0%5D=2025&amp;profession%5B0%5D=851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DA7D-FAE0-409B-B409-3F1B5AC2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2340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Mariola Jaszczak</cp:lastModifiedBy>
  <cp:revision>5</cp:revision>
  <dcterms:created xsi:type="dcterms:W3CDTF">2025-01-23T09:13:00Z</dcterms:created>
  <dcterms:modified xsi:type="dcterms:W3CDTF">2025-08-12T10:17:00Z</dcterms:modified>
</cp:coreProperties>
</file>