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85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A7FC0" w:rsidRPr="00ED7228" w14:paraId="7CCD7A32" w14:textId="77777777" w:rsidTr="00DA7FC0">
        <w:trPr>
          <w:trHeight w:val="120"/>
        </w:trPr>
        <w:tc>
          <w:tcPr>
            <w:tcW w:w="9498" w:type="dxa"/>
            <w:tcBorders>
              <w:left w:val="nil"/>
              <w:right w:val="nil"/>
            </w:tcBorders>
          </w:tcPr>
          <w:p w14:paraId="6E99A3C9" w14:textId="77777777" w:rsidR="00247810" w:rsidRPr="00ED7228" w:rsidRDefault="00247810" w:rsidP="00395F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Hlk221185467"/>
            <w:r w:rsidRPr="00ED72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  <w:p w14:paraId="18D794D5" w14:textId="77777777" w:rsidR="00395F26" w:rsidRPr="00ED7228" w:rsidRDefault="00247810" w:rsidP="00395F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72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</w:p>
          <w:p w14:paraId="753B3E2F" w14:textId="5C1BC499" w:rsidR="00DA7FC0" w:rsidRPr="00ED7228" w:rsidRDefault="00395F26" w:rsidP="00395F2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72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  <w:r w:rsidR="00247810" w:rsidRPr="00ED722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Załącznik nr 1 do ,,Regulaminu...”</w:t>
            </w:r>
          </w:p>
        </w:tc>
      </w:tr>
      <w:tr w:rsidR="00DA7FC0" w14:paraId="381DE56E" w14:textId="77777777" w:rsidTr="00247810">
        <w:trPr>
          <w:trHeight w:val="637"/>
        </w:trPr>
        <w:tc>
          <w:tcPr>
            <w:tcW w:w="9498" w:type="dxa"/>
          </w:tcPr>
          <w:p w14:paraId="0D3438A0" w14:textId="77777777" w:rsidR="00247810" w:rsidRDefault="00247810" w:rsidP="00395F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1FCD90" w14:textId="62D9E106" w:rsidR="00DA7FC0" w:rsidRDefault="00247810" w:rsidP="00395F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</w:t>
            </w:r>
            <w:r w:rsidR="00DA7FC0">
              <w:rPr>
                <w:rFonts w:ascii="Arial" w:hAnsi="Arial" w:cs="Arial"/>
                <w:b/>
                <w:sz w:val="20"/>
                <w:szCs w:val="20"/>
              </w:rPr>
              <w:t>DODATKOWE INFORMACJE DO PRIORYTETÓW</w:t>
            </w:r>
            <w:r w:rsidR="00DA7FC0" w:rsidRPr="006F6ED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bookmarkEnd w:id="0"/>
      <w:tr w:rsidR="00DA7FC0" w14:paraId="67AE555E" w14:textId="77777777" w:rsidTr="00DA7FC0">
        <w:trPr>
          <w:trHeight w:val="795"/>
        </w:trPr>
        <w:tc>
          <w:tcPr>
            <w:tcW w:w="9498" w:type="dxa"/>
          </w:tcPr>
          <w:p w14:paraId="6FFF67B9" w14:textId="77777777" w:rsidR="002D4597" w:rsidRDefault="002D4597" w:rsidP="002D459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D5CA5F" w14:textId="1B99A298" w:rsidR="00DA7FC0" w:rsidRPr="00DA7FC0" w:rsidRDefault="00DA7FC0" w:rsidP="002D4597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7FC0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A7FC0">
              <w:rPr>
                <w:rFonts w:ascii="Arial" w:hAnsi="Arial" w:cs="Arial"/>
                <w:b/>
                <w:sz w:val="20"/>
                <w:szCs w:val="20"/>
              </w:rPr>
              <w:t xml:space="preserve">Poprawa zarządzania i komunikacji w firmie w oparciu o zasady przeciwdziałania dyskryminacji i </w:t>
            </w:r>
            <w:proofErr w:type="spellStart"/>
            <w:r w:rsidRPr="00DA7FC0">
              <w:rPr>
                <w:rFonts w:ascii="Arial" w:hAnsi="Arial" w:cs="Arial"/>
                <w:b/>
                <w:sz w:val="20"/>
                <w:szCs w:val="20"/>
              </w:rPr>
              <w:t>mobbingowi</w:t>
            </w:r>
            <w:proofErr w:type="spellEnd"/>
            <w:r w:rsidRPr="00DA7FC0">
              <w:rPr>
                <w:rFonts w:ascii="Arial" w:hAnsi="Arial" w:cs="Arial"/>
                <w:b/>
                <w:sz w:val="20"/>
                <w:szCs w:val="20"/>
              </w:rPr>
              <w:t>, rozwoju dialogu społecznego, partycypacji pracowniczej i wspierania integracji w miejscu pracy.</w:t>
            </w:r>
          </w:p>
          <w:p w14:paraId="31C1823E" w14:textId="77777777" w:rsidR="00DA7FC0" w:rsidRPr="00DA7FC0" w:rsidRDefault="00DA7FC0" w:rsidP="00DA7FC0"/>
        </w:tc>
      </w:tr>
      <w:tr w:rsidR="00DA7FC0" w14:paraId="409ADEDD" w14:textId="77777777" w:rsidTr="00DA7FC0">
        <w:trPr>
          <w:trHeight w:val="4871"/>
        </w:trPr>
        <w:tc>
          <w:tcPr>
            <w:tcW w:w="9498" w:type="dxa"/>
          </w:tcPr>
          <w:p w14:paraId="0C13DB3E" w14:textId="77777777" w:rsidR="00DA7FC0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0DF6FA" w14:textId="7235914B" w:rsidR="00DA7FC0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4FB7">
              <w:rPr>
                <w:rFonts w:ascii="Arial" w:hAnsi="Arial" w:cs="Arial"/>
                <w:sz w:val="20"/>
                <w:szCs w:val="20"/>
              </w:rPr>
              <w:t>Środki mogą zostać przeznaczone na kształcenie ustawiczne w ramach którego, uczestnicy zdobędę wiedzę 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4FB7">
              <w:rPr>
                <w:rFonts w:ascii="Arial" w:hAnsi="Arial" w:cs="Arial"/>
                <w:sz w:val="20"/>
                <w:szCs w:val="20"/>
              </w:rPr>
              <w:t>umiejętności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4FB7">
              <w:rPr>
                <w:rFonts w:ascii="Arial" w:hAnsi="Arial" w:cs="Arial"/>
                <w:sz w:val="20"/>
                <w:szCs w:val="20"/>
              </w:rPr>
              <w:t xml:space="preserve"> m.in.: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C8AA05" w14:textId="77777777" w:rsidR="00DA7FC0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8FF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454FB7">
              <w:rPr>
                <w:rFonts w:ascii="Arial" w:hAnsi="Arial" w:cs="Arial"/>
                <w:sz w:val="20"/>
                <w:szCs w:val="20"/>
              </w:rPr>
              <w:t xml:space="preserve">rozpoznawania, rozumienia i przeciwdziałania </w:t>
            </w:r>
            <w:proofErr w:type="spellStart"/>
            <w:r w:rsidRPr="00454FB7">
              <w:rPr>
                <w:rFonts w:ascii="Arial" w:hAnsi="Arial" w:cs="Arial"/>
                <w:sz w:val="20"/>
                <w:szCs w:val="20"/>
              </w:rPr>
              <w:t>mobbingowi</w:t>
            </w:r>
            <w:proofErr w:type="spellEnd"/>
            <w:r w:rsidRPr="00454FB7">
              <w:rPr>
                <w:rFonts w:ascii="Arial" w:hAnsi="Arial" w:cs="Arial"/>
                <w:sz w:val="20"/>
                <w:szCs w:val="20"/>
              </w:rPr>
              <w:t xml:space="preserve"> w miejscu pracy, co zwiększy ich uważność na sposób komunikacji i budowania relacji w ich zespołach, </w:t>
            </w:r>
          </w:p>
          <w:p w14:paraId="2D2F2316" w14:textId="77777777" w:rsidR="00DA7FC0" w:rsidRPr="00454FB7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8FF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4FB7">
              <w:rPr>
                <w:rFonts w:ascii="Arial" w:hAnsi="Arial" w:cs="Arial"/>
                <w:sz w:val="20"/>
                <w:szCs w:val="20"/>
              </w:rPr>
              <w:t xml:space="preserve">dotyczące różnych form </w:t>
            </w:r>
            <w:proofErr w:type="spellStart"/>
            <w:r w:rsidRPr="00454FB7">
              <w:rPr>
                <w:rFonts w:ascii="Arial" w:hAnsi="Arial" w:cs="Arial"/>
                <w:sz w:val="20"/>
                <w:szCs w:val="20"/>
              </w:rPr>
              <w:t>mobbingu</w:t>
            </w:r>
            <w:proofErr w:type="spellEnd"/>
            <w:r w:rsidRPr="00454FB7">
              <w:rPr>
                <w:rFonts w:ascii="Arial" w:hAnsi="Arial" w:cs="Arial"/>
                <w:sz w:val="20"/>
                <w:szCs w:val="20"/>
              </w:rPr>
              <w:t xml:space="preserve">, jak zrozumieć jego wpływ na zespół oraz jak skutecznie reagować i zapobiegać sytuacjom o charakterze </w:t>
            </w:r>
            <w:proofErr w:type="spellStart"/>
            <w:r w:rsidRPr="00454FB7">
              <w:rPr>
                <w:rFonts w:ascii="Arial" w:hAnsi="Arial" w:cs="Arial"/>
                <w:sz w:val="20"/>
                <w:szCs w:val="20"/>
              </w:rPr>
              <w:t>mobbingu</w:t>
            </w:r>
            <w:proofErr w:type="spellEnd"/>
            <w:r w:rsidRPr="00454FB7">
              <w:rPr>
                <w:rFonts w:ascii="Arial" w:hAnsi="Arial" w:cs="Arial"/>
                <w:sz w:val="20"/>
                <w:szCs w:val="20"/>
              </w:rPr>
              <w:t xml:space="preserve"> w przyszłości,</w:t>
            </w:r>
          </w:p>
          <w:p w14:paraId="0461CF59" w14:textId="77777777" w:rsidR="00DA7FC0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8FF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454FB7">
              <w:rPr>
                <w:rFonts w:ascii="Arial" w:hAnsi="Arial" w:cs="Arial"/>
                <w:sz w:val="20"/>
                <w:szCs w:val="20"/>
              </w:rPr>
              <w:t xml:space="preserve"> rozpoznawania/uważności (szczególnie menedżerowie/pracodawcy) na zachowania i relacje w zespołach,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5C4BD5" w14:textId="77777777" w:rsidR="00DA7FC0" w:rsidRPr="00454FB7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8FF">
              <w:rPr>
                <w:rFonts w:ascii="Arial" w:hAnsi="Arial" w:cs="Arial"/>
                <w:b/>
                <w:bCs/>
                <w:sz w:val="20"/>
                <w:szCs w:val="20"/>
              </w:rPr>
              <w:t>d)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4FB7">
              <w:rPr>
                <w:rFonts w:ascii="Arial" w:hAnsi="Arial" w:cs="Arial"/>
                <w:sz w:val="20"/>
                <w:szCs w:val="20"/>
              </w:rPr>
              <w:t>do promowania bezpiecznego i wspierającego środowiska pracy,</w:t>
            </w:r>
          </w:p>
          <w:p w14:paraId="6AD5F8F0" w14:textId="77777777" w:rsidR="00DA7FC0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8FF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4FB7">
              <w:rPr>
                <w:rFonts w:ascii="Arial" w:hAnsi="Arial" w:cs="Arial"/>
                <w:sz w:val="20"/>
                <w:szCs w:val="20"/>
              </w:rPr>
              <w:t xml:space="preserve">na temat skutków społecznych i prawnych </w:t>
            </w:r>
            <w:proofErr w:type="spellStart"/>
            <w:r w:rsidRPr="00454FB7">
              <w:rPr>
                <w:rFonts w:ascii="Arial" w:hAnsi="Arial" w:cs="Arial"/>
                <w:sz w:val="20"/>
                <w:szCs w:val="20"/>
              </w:rPr>
              <w:t>mobbingu</w:t>
            </w:r>
            <w:proofErr w:type="spellEnd"/>
            <w:r w:rsidRPr="00454FB7">
              <w:rPr>
                <w:rFonts w:ascii="Arial" w:hAnsi="Arial" w:cs="Arial"/>
                <w:sz w:val="20"/>
                <w:szCs w:val="20"/>
              </w:rPr>
              <w:t xml:space="preserve"> lub dyskryminacji,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BC0D85" w14:textId="77777777" w:rsidR="00DA7FC0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8FF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4FB7">
              <w:rPr>
                <w:rFonts w:ascii="Arial" w:hAnsi="Arial" w:cs="Arial"/>
                <w:sz w:val="20"/>
                <w:szCs w:val="20"/>
              </w:rPr>
              <w:t xml:space="preserve"> dotyczące wdrażania procedur przeciwdziałania i reagowania na przypadki nieprawidłowości.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5F6463" w14:textId="77777777" w:rsidR="00DA7FC0" w:rsidRDefault="00DA7FC0" w:rsidP="00DA7FC0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Szkolenia tego typu mają na celu identyfikowanie i przeciwdziałanie dyskryminacji i 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mobbingowi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na każdym szczeblu organizacyjnym, a także wzmocnienie umiejętności zarządzania, poprawę komunikacji wewnętrznej oraz stworzenie środowiska opartego na równości, integracji i zaangażowaniu pracowników. Realizacja tych celów wpływa na budowanie kultury organizacyjnej, która sprzyja efektywności i zadowoleniu zespołu. Priorytet ten ma zachęcać do tworzenia i oferuje wsparcie w zakresie zasad funkcjonowania i działania rad pracowniczych – na poziomie unijnym i poszczególnych krajów UE. </w:t>
            </w:r>
            <w:r w:rsidRPr="00752DC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Kluczową rolę odgrywa program kształcenia oraz uzasadnienie jego odbycia.</w:t>
            </w:r>
          </w:p>
        </w:tc>
      </w:tr>
      <w:tr w:rsidR="00DA7FC0" w14:paraId="2500CAA9" w14:textId="77777777" w:rsidTr="00DA7FC0">
        <w:trPr>
          <w:trHeight w:val="45"/>
        </w:trPr>
        <w:tc>
          <w:tcPr>
            <w:tcW w:w="9498" w:type="dxa"/>
          </w:tcPr>
          <w:p w14:paraId="5B8086DC" w14:textId="77777777" w:rsidR="002D4597" w:rsidRDefault="002D4597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64A745" w14:textId="343B217D" w:rsidR="00DA7FC0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FF">
              <w:rPr>
                <w:rFonts w:ascii="Arial" w:hAnsi="Arial" w:cs="Arial"/>
                <w:b/>
                <w:bCs/>
                <w:sz w:val="20"/>
                <w:szCs w:val="20"/>
              </w:rPr>
              <w:t>2. Wsparcie rozwoju umiejętności i kwalifikacji w zawodach określonych jako deficytowe na danym terenie, tj. w powiecie lub w województwie.</w:t>
            </w:r>
            <w:r w:rsidRPr="00D038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071B386" w14:textId="77777777" w:rsidR="00DA7FC0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7FC0" w14:paraId="541709B9" w14:textId="77777777" w:rsidTr="00DA7FC0">
        <w:trPr>
          <w:trHeight w:val="6338"/>
        </w:trPr>
        <w:tc>
          <w:tcPr>
            <w:tcW w:w="9498" w:type="dxa"/>
          </w:tcPr>
          <w:p w14:paraId="3E85905D" w14:textId="77777777" w:rsidR="00DA7FC0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6B8AF7" w14:textId="70CE89B3" w:rsidR="00DA7FC0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454FB7">
              <w:rPr>
                <w:rFonts w:ascii="Arial" w:hAnsi="Arial" w:cs="Arial"/>
                <w:color w:val="000000"/>
                <w:sz w:val="20"/>
                <w:szCs w:val="20"/>
              </w:rPr>
              <w:t>niosek jest analizowany pod kątem zgodności kształcenia w odniesieniu do zawodów deficytowych powiatu łaskiego i województwa łódzkiego wskazanych w Barometrze zawodów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ABEF557" w14:textId="77777777" w:rsidR="00DA7FC0" w:rsidRPr="006856DA" w:rsidRDefault="00DA7FC0" w:rsidP="00DA7FC0">
            <w:pPr>
              <w:pStyle w:val="Normalny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856DA">
              <w:rPr>
                <w:rFonts w:ascii="Arial" w:hAnsi="Arial" w:cs="Arial"/>
                <w:sz w:val="20"/>
                <w:szCs w:val="20"/>
                <w:u w:val="single"/>
              </w:rPr>
              <w:t>Miasto/Powiat:</w:t>
            </w:r>
          </w:p>
          <w:p w14:paraId="0D4B7A86" w14:textId="035DB4E9" w:rsidR="002D4597" w:rsidRDefault="002D4597" w:rsidP="00DA7FC0">
            <w:pPr>
              <w:pStyle w:val="Normalny1"/>
              <w:spacing w:after="0" w:line="276" w:lineRule="auto"/>
              <w:jc w:val="both"/>
            </w:pPr>
            <w:hyperlink r:id="rId7" w:history="1">
              <w:r w:rsidRPr="002D459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https://barometrzawodow.pl/modul/prognozy-na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D4597">
              <w:t>plakatach?publication=county&amp;province=5&amp;county</w:t>
            </w:r>
          </w:p>
          <w:p w14:paraId="0AD6F75E" w14:textId="0317412C" w:rsidR="00DA7FC0" w:rsidRPr="00DA7FC0" w:rsidRDefault="002D4597" w:rsidP="00DA7FC0">
            <w:pPr>
              <w:pStyle w:val="Normalny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597">
              <w:t>=116&amp;year=2026&amp;form-group%5B%5D=</w:t>
            </w:r>
            <w:proofErr w:type="spellStart"/>
            <w:r w:rsidRPr="002D4597">
              <w:t>low</w:t>
            </w:r>
            <w:proofErr w:type="spellEnd"/>
          </w:p>
          <w:p w14:paraId="73DC8A77" w14:textId="77777777" w:rsidR="00DA7FC0" w:rsidRPr="00687A3A" w:rsidRDefault="00DA7FC0" w:rsidP="00DA7FC0">
            <w:pPr>
              <w:pStyle w:val="Normalny1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3051D9">
              <w:rPr>
                <w:rFonts w:eastAsia="SimSun" w:cstheme="minorHAnsi"/>
                <w:b/>
                <w:bCs/>
              </w:rPr>
              <w:t xml:space="preserve">- </w:t>
            </w:r>
            <w:r w:rsidRPr="003051D9">
              <w:rPr>
                <w:rFonts w:eastAsia="SimSun" w:cstheme="minorHAnsi"/>
                <w:b/>
                <w:bCs/>
                <w:i/>
                <w:iCs/>
                <w:u w:val="single"/>
              </w:rPr>
              <w:t>zawody deficytowe w powiecie łaskim w 202</w:t>
            </w:r>
            <w:r>
              <w:rPr>
                <w:rFonts w:eastAsia="SimSun" w:cstheme="minorHAnsi"/>
                <w:b/>
                <w:bCs/>
                <w:i/>
                <w:iCs/>
                <w:u w:val="single"/>
              </w:rPr>
              <w:t>6</w:t>
            </w:r>
            <w:r w:rsidRPr="003051D9">
              <w:rPr>
                <w:rFonts w:eastAsia="SimSun" w:cstheme="minorHAnsi"/>
                <w:b/>
                <w:bCs/>
                <w:i/>
                <w:iCs/>
                <w:u w:val="single"/>
              </w:rPr>
              <w:t xml:space="preserve"> r</w:t>
            </w:r>
            <w:r w:rsidRPr="003051D9">
              <w:rPr>
                <w:rFonts w:eastAsia="SimSun" w:cstheme="minorHAnsi"/>
                <w:i/>
                <w:iCs/>
              </w:rPr>
              <w:t>.</w:t>
            </w:r>
            <w:r>
              <w:rPr>
                <w:rFonts w:eastAsia="SimSun" w:cstheme="minorHAnsi"/>
                <w:i/>
                <w:iCs/>
              </w:rPr>
              <w:t xml:space="preserve"> -</w:t>
            </w:r>
            <w:r w:rsidRPr="003051D9">
              <w:rPr>
                <w:rFonts w:eastAsia="SimSun" w:cstheme="minorHAnsi"/>
                <w:i/>
                <w:iCs/>
              </w:rPr>
              <w:t xml:space="preserve"> </w:t>
            </w:r>
            <w:hyperlink r:id="rId8" w:history="1"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Lekarze</w:t>
              </w:r>
              <w:r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;</w:t>
              </w:r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 xml:space="preserve"> </w:t>
              </w:r>
            </w:hyperlink>
            <w:hyperlink r:id="rId9" w:history="1"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Nauczyciele nauczania wczesnoszkolnego</w:t>
              </w:r>
              <w:r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;</w:t>
              </w:r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 xml:space="preserve"> </w:t>
              </w:r>
            </w:hyperlink>
            <w:hyperlink r:id="rId10" w:history="1"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Nauczyciele przedmiotów ogólnokształcących i języków obcych</w:t>
              </w:r>
              <w:r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;</w:t>
              </w:r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 xml:space="preserve"> </w:t>
              </w:r>
            </w:hyperlink>
            <w:hyperlink r:id="rId11" w:history="1"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Nauczyciele przedszkoli</w:t>
              </w:r>
              <w:r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;</w:t>
              </w:r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 xml:space="preserve"> </w:t>
              </w:r>
            </w:hyperlink>
            <w:hyperlink r:id="rId12" w:history="1"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Nauczyciele szkół specjalnych i oddziałów integracyjnych</w:t>
              </w:r>
              <w:r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;</w:t>
              </w:r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 xml:space="preserve"> </w:t>
              </w:r>
            </w:hyperlink>
            <w:hyperlink r:id="rId13" w:history="1"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Pedagodzy i nauczyciele wspierający</w:t>
              </w:r>
              <w:r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;</w:t>
              </w:r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 xml:space="preserve"> </w:t>
              </w:r>
            </w:hyperlink>
            <w:r w:rsidRPr="00687A3A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zh-CN"/>
              </w:rPr>
              <w:t>Pielęgniarki i położne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zh-CN"/>
              </w:rPr>
              <w:t>;</w:t>
            </w:r>
            <w:r w:rsidRPr="00687A3A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zh-CN"/>
              </w:rPr>
              <w:t xml:space="preserve"> Psycholodzy i terapeuci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zh-CN"/>
              </w:rPr>
              <w:t>;</w:t>
            </w:r>
            <w:r w:rsidRPr="00687A3A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zh-CN"/>
              </w:rPr>
              <w:t xml:space="preserve"> Spawacze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zh-CN"/>
              </w:rPr>
              <w:t>.</w:t>
            </w:r>
            <w:r w:rsidRPr="00687A3A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zh-CN"/>
              </w:rPr>
              <w:t xml:space="preserve"> </w:t>
            </w:r>
          </w:p>
          <w:p w14:paraId="3B59DF29" w14:textId="7D6F3461" w:rsidR="002D4597" w:rsidRPr="002D4597" w:rsidRDefault="00DA7FC0" w:rsidP="00DA7FC0">
            <w:pPr>
              <w:pStyle w:val="Normalny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856DA">
              <w:rPr>
                <w:rFonts w:ascii="Arial" w:hAnsi="Arial" w:cs="Arial"/>
                <w:sz w:val="20"/>
                <w:szCs w:val="20"/>
                <w:u w:val="single"/>
              </w:rPr>
              <w:t xml:space="preserve">Województwo: </w:t>
            </w:r>
            <w:r w:rsidR="002D4597" w:rsidRPr="002D45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B711F8" w14:textId="630CBE40" w:rsidR="00DA7FC0" w:rsidRPr="002D4597" w:rsidRDefault="002D4597" w:rsidP="00DA7FC0">
            <w:pPr>
              <w:pStyle w:val="Normalny1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2D459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 xml:space="preserve">https://barometrzawodow.pl/modul/prognozy-na-plakatach?publication=province&amp;province=5&amp;county                                        </w:t>
              </w:r>
              <w:r w:rsidRPr="002D4597">
                <w:rPr>
                  <w:rStyle w:val="Hipercze"/>
                  <w:color w:val="auto"/>
                  <w:u w:val="none"/>
                </w:rPr>
                <w:t xml:space="preserve">          </w:t>
              </w:r>
              <w:r w:rsidRPr="002D4597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 xml:space="preserve"> =&amp;year=2026&amp;form-group%5B%5D=low</w:t>
              </w:r>
            </w:hyperlink>
            <w:r w:rsidR="00DA7FC0" w:rsidRPr="002D45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39429E" w14:textId="77777777" w:rsidR="00DA7FC0" w:rsidRPr="00687A3A" w:rsidRDefault="00DA7FC0" w:rsidP="00DA7FC0">
            <w:pPr>
              <w:pStyle w:val="Normalny1"/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87A3A">
              <w:rPr>
                <w:rFonts w:eastAsia="SimSun" w:cstheme="minorHAnsi"/>
                <w:b/>
                <w:bCs/>
                <w:sz w:val="20"/>
                <w:szCs w:val="20"/>
              </w:rPr>
              <w:t xml:space="preserve">- </w:t>
            </w:r>
            <w:r w:rsidRPr="00687A3A">
              <w:rPr>
                <w:rFonts w:eastAsia="SimSun" w:cstheme="minorHAnsi"/>
                <w:b/>
                <w:bCs/>
                <w:i/>
                <w:iCs/>
                <w:sz w:val="20"/>
                <w:szCs w:val="20"/>
                <w:u w:val="single"/>
              </w:rPr>
              <w:t>zawody deficytowe w województwie łódzkim w 2026 r.</w:t>
            </w:r>
            <w:r w:rsidRPr="00687A3A">
              <w:rPr>
                <w:rFonts w:eastAsia="SimSun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687A3A">
              <w:rPr>
                <w:rFonts w:eastAsia="SimSun" w:cstheme="minorHAnsi"/>
                <w:b/>
                <w:bCs/>
                <w:sz w:val="20"/>
                <w:szCs w:val="20"/>
              </w:rPr>
              <w:t xml:space="preserve"> - </w:t>
            </w:r>
            <w:hyperlink r:id="rId15" w:history="1"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Elektrycy i energetycy</w:t>
              </w:r>
              <w:r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;</w:t>
              </w:r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 xml:space="preserve"> </w:t>
              </w:r>
            </w:hyperlink>
            <w:hyperlink r:id="rId16" w:history="1"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Kierowcy autobusów</w:t>
              </w:r>
              <w:r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;</w:t>
              </w:r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 xml:space="preserve"> </w:t>
              </w:r>
            </w:hyperlink>
            <w:hyperlink r:id="rId17" w:history="1"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Kierowcy samochodów ciężarowych i ciągników siodłowych</w:t>
              </w:r>
              <w:r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;</w:t>
              </w:r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 xml:space="preserve"> </w:t>
              </w:r>
            </w:hyperlink>
            <w:hyperlink r:id="rId18" w:history="1"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Lekarze</w:t>
              </w:r>
              <w:r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;</w:t>
              </w:r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 xml:space="preserve"> </w:t>
              </w:r>
            </w:hyperlink>
            <w:hyperlink r:id="rId19" w:history="1"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Magazynierzy</w:t>
              </w:r>
              <w:r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;</w:t>
              </w:r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 xml:space="preserve"> </w:t>
              </w:r>
            </w:hyperlink>
            <w:hyperlink r:id="rId20" w:history="1"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Nauczyciele szkół specjalnych i oddziałów integracyjnych</w:t>
              </w:r>
              <w:r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;</w:t>
              </w:r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 xml:space="preserve"> </w:t>
              </w:r>
            </w:hyperlink>
            <w:hyperlink r:id="rId21" w:history="1"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Operatorzy i mechanicy sprzętu do robót ziemnych</w:t>
              </w:r>
              <w:r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;</w:t>
              </w:r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 xml:space="preserve"> </w:t>
              </w:r>
            </w:hyperlink>
            <w:hyperlink r:id="rId22" w:history="1"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Pielęgniarki i położne</w:t>
              </w:r>
              <w:r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;</w:t>
              </w:r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 xml:space="preserve"> </w:t>
              </w:r>
            </w:hyperlink>
            <w:hyperlink r:id="rId23" w:history="1"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Pracownicy ds. rachunkowości i księgowości</w:t>
              </w:r>
              <w:r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;</w:t>
              </w:r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 xml:space="preserve"> </w:t>
              </w:r>
            </w:hyperlink>
            <w:hyperlink r:id="rId24" w:history="1"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Psycholodzy i terapeuci</w:t>
              </w:r>
              <w:r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;</w:t>
              </w:r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 xml:space="preserve"> </w:t>
              </w:r>
            </w:hyperlink>
            <w:hyperlink r:id="rId25" w:history="1"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Spawacze</w:t>
              </w:r>
              <w:r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>.</w:t>
              </w:r>
              <w:r w:rsidRPr="00687A3A">
                <w:rPr>
                  <w:rFonts w:asciiTheme="minorHAnsi" w:eastAsia="Times New Roman" w:hAnsiTheme="minorHAnsi" w:cstheme="minorHAnsi"/>
                  <w:sz w:val="20"/>
                  <w:szCs w:val="20"/>
                  <w:u w:val="single"/>
                  <w:lang w:eastAsia="zh-CN"/>
                </w:rPr>
                <w:t xml:space="preserve"> </w:t>
              </w:r>
            </w:hyperlink>
          </w:p>
          <w:p w14:paraId="0E45F36C" w14:textId="77777777" w:rsidR="00DA7FC0" w:rsidRDefault="00DA7FC0" w:rsidP="00DA7FC0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Pracodawca wnioskujący o dofinansowanie kształcenia ustawicznego pracowników zatrudnionych na terenie innego powiatu niż siedziba powiatowego urzędu pracy, w którym składany jest wniosek o dofinansowanie powinien wykazać, że zawód jest deficytowy dla miejsca wykonywania pracy.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Priorytet ten dopuszcza sfinansowanie kształcenia ustawicznego w zakresie umiejętności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pl-PL"/>
              </w:rPr>
              <w:t>ogólnozawodowych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(w tym tzw. kompetencji miękkich), o ile są one ściśle powiązane z wykonywaniem pracy w zawodzie deficytowym. </w:t>
            </w:r>
            <w:r w:rsidRPr="00752DC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Kluczową rolę odgrywa program kształcenia oraz uzasadnienie jego odbycia.</w:t>
            </w:r>
          </w:p>
          <w:p w14:paraId="59BD73F9" w14:textId="77777777" w:rsidR="00DA7FC0" w:rsidRDefault="00DA7FC0" w:rsidP="00DA7FC0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A7FC0" w14:paraId="0BF57431" w14:textId="77777777" w:rsidTr="00DA7FC0">
        <w:trPr>
          <w:trHeight w:val="843"/>
        </w:trPr>
        <w:tc>
          <w:tcPr>
            <w:tcW w:w="9498" w:type="dxa"/>
          </w:tcPr>
          <w:p w14:paraId="22FFF979" w14:textId="77777777" w:rsidR="00EE34BB" w:rsidRDefault="00EE34BB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2DCD820" w14:textId="21A3C66D" w:rsidR="00DA7FC0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8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Pr="00D038FF">
              <w:rPr>
                <w:rFonts w:ascii="Arial" w:hAnsi="Arial" w:cs="Arial"/>
                <w:b/>
                <w:bCs/>
                <w:sz w:val="20"/>
                <w:szCs w:val="20"/>
              </w:rPr>
      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pracy.</w:t>
            </w:r>
            <w:r w:rsidRPr="006F6E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5BF5E7" w14:textId="77777777" w:rsidR="00DA7FC0" w:rsidRPr="00DA7FC0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7FC0" w14:paraId="49C1A9C5" w14:textId="77777777" w:rsidTr="00DA7FC0">
        <w:trPr>
          <w:trHeight w:val="4900"/>
        </w:trPr>
        <w:tc>
          <w:tcPr>
            <w:tcW w:w="9498" w:type="dxa"/>
          </w:tcPr>
          <w:p w14:paraId="62772409" w14:textId="77777777" w:rsidR="00DA7FC0" w:rsidRPr="00D038FF" w:rsidRDefault="00DA7FC0" w:rsidP="00DA7FC0">
            <w:pPr>
              <w:suppressAutoHyphens w:val="0"/>
              <w:spacing w:line="276" w:lineRule="auto"/>
              <w:ind w:left="3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FF">
              <w:rPr>
                <w:rFonts w:ascii="Arial" w:hAnsi="Arial" w:cs="Arial"/>
                <w:color w:val="000000"/>
                <w:sz w:val="20"/>
                <w:szCs w:val="20"/>
              </w:rPr>
              <w:t>Środki mogą zostać przeznaczone na wsparcie kształcenia ustawicznego w związku z zastosowaniem</w:t>
            </w:r>
          </w:p>
          <w:p w14:paraId="0FAE5BDE" w14:textId="77777777" w:rsidR="00DA7FC0" w:rsidRPr="00D038FF" w:rsidRDefault="00DA7FC0" w:rsidP="00DA7FC0">
            <w:pPr>
              <w:suppressAutoHyphens w:val="0"/>
              <w:spacing w:line="276" w:lineRule="auto"/>
              <w:ind w:left="3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FF">
              <w:rPr>
                <w:rFonts w:ascii="Arial" w:hAnsi="Arial" w:cs="Arial"/>
                <w:color w:val="000000"/>
                <w:sz w:val="20"/>
                <w:szCs w:val="20"/>
              </w:rPr>
              <w:t>w firmach nowych technologii i narzędzi pracy. Wnioskodawca, który chce spełnić wymagania tego priorytetu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38FF">
              <w:rPr>
                <w:rFonts w:ascii="Arial" w:hAnsi="Arial" w:cs="Arial"/>
                <w:color w:val="000000"/>
                <w:sz w:val="20"/>
                <w:szCs w:val="20"/>
              </w:rPr>
              <w:t>powinien udowodnić, że w ciągu jednego roku przed złożeniem wniosku bądź w ciągu trzech ostatnich miesięcy po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38FF">
              <w:rPr>
                <w:rFonts w:ascii="Arial" w:hAnsi="Arial" w:cs="Arial"/>
                <w:color w:val="000000"/>
                <w:sz w:val="20"/>
                <w:szCs w:val="20"/>
              </w:rPr>
              <w:t>jego złożeniu zostały/zostaną zakupione nowe maszyny i narzędzia, bądź będą wdrożone nowe procesy, technologie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38FF">
              <w:rPr>
                <w:rFonts w:ascii="Arial" w:hAnsi="Arial" w:cs="Arial"/>
                <w:color w:val="000000"/>
                <w:sz w:val="20"/>
                <w:szCs w:val="20"/>
              </w:rPr>
              <w:t>i systemy, a osoby objęte kształceniem ustawicznym będą wykonywać nowe zadania związane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38FF">
              <w:rPr>
                <w:rFonts w:ascii="Arial" w:hAnsi="Arial" w:cs="Arial"/>
                <w:color w:val="000000"/>
                <w:sz w:val="20"/>
                <w:szCs w:val="20"/>
              </w:rPr>
              <w:t>z wprowadzonymi/planowanymi do wprowadzenia zmianami zwłaszcza związanymi z wykorzystaniem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38FF">
              <w:rPr>
                <w:rFonts w:ascii="Arial" w:hAnsi="Arial" w:cs="Arial"/>
                <w:color w:val="000000"/>
                <w:sz w:val="20"/>
                <w:szCs w:val="20"/>
              </w:rPr>
              <w:t>kompetencji cyfrowych czy zastosowaniem umiejętności zielonych.</w:t>
            </w:r>
          </w:p>
          <w:p w14:paraId="2F070B06" w14:textId="77777777" w:rsidR="00DA7FC0" w:rsidRPr="00D038FF" w:rsidRDefault="00DA7FC0" w:rsidP="00DA7FC0">
            <w:pPr>
              <w:suppressAutoHyphens w:val="0"/>
              <w:spacing w:line="276" w:lineRule="auto"/>
              <w:ind w:left="3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38FF">
              <w:rPr>
                <w:rFonts w:ascii="Arial" w:hAnsi="Arial" w:cs="Arial"/>
                <w:color w:val="000000"/>
                <w:sz w:val="20"/>
                <w:szCs w:val="20"/>
              </w:rPr>
              <w:t>Umiejętności zielone to przede wszystkim wiedza, zdolności, wartości i postawy, które umożliwiają prowadzenie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38FF">
              <w:rPr>
                <w:rFonts w:ascii="Arial" w:hAnsi="Arial" w:cs="Arial"/>
                <w:color w:val="000000"/>
                <w:sz w:val="20"/>
                <w:szCs w:val="20"/>
              </w:rPr>
              <w:t>zrównoważonego, oszczędnego i proekologicznego sposobu życia i pracy. Obejmują zarówno kompetencje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38FF">
              <w:rPr>
                <w:rFonts w:ascii="Arial" w:hAnsi="Arial" w:cs="Arial"/>
                <w:color w:val="000000"/>
                <w:sz w:val="20"/>
                <w:szCs w:val="20"/>
              </w:rPr>
              <w:t>techniczne (np. obsługa technologii odnawialnych, zarządzanie zasobami, wdrażanie innowacji ekologicznych).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38FF">
              <w:rPr>
                <w:rFonts w:ascii="Arial" w:hAnsi="Arial" w:cs="Arial"/>
                <w:color w:val="000000"/>
                <w:sz w:val="20"/>
                <w:szCs w:val="20"/>
              </w:rPr>
              <w:t>Zielona gospodarka, skupia się na niskoemisyjności, efektywności energetycznej i odnawialnych źródłach ciepła.</w:t>
            </w:r>
          </w:p>
          <w:p w14:paraId="3C3EA193" w14:textId="77777777" w:rsidR="00DA7FC0" w:rsidRPr="00D038FF" w:rsidRDefault="00DA7FC0" w:rsidP="00DA7FC0">
            <w:pPr>
              <w:suppressAutoHyphens w:val="0"/>
              <w:spacing w:line="276" w:lineRule="auto"/>
              <w:ind w:left="37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38F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Wsparciem kształcenia ustawicznego w ramach tego priorytetu można objąć jedynie osobę, która w ramach wykonywania swoich zadań zawodowych/ na stanowisku pracy korzysta lub będzie korzystała z nowych technologii i narzędzi pracy lub wdrażała nowe procesy.</w:t>
            </w:r>
          </w:p>
          <w:p w14:paraId="49C94750" w14:textId="77777777" w:rsidR="00DA7FC0" w:rsidRPr="00306A5D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038FF">
              <w:rPr>
                <w:rFonts w:ascii="Arial" w:hAnsi="Arial" w:cs="Arial"/>
                <w:color w:val="000000"/>
                <w:sz w:val="20"/>
                <w:szCs w:val="20"/>
              </w:rPr>
              <w:t xml:space="preserve">Dokumentem potwierdzającym spełnienie tego priorytetu będzie </w:t>
            </w:r>
            <w:r w:rsidRPr="006856D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oświadczenie wnioskodawcy określające jakie technologie zostały/zostaną wprowadzone</w:t>
            </w:r>
            <w:r w:rsidRPr="006856D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. </w:t>
            </w:r>
            <w:r w:rsidRPr="006856D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Dodatkowo w przypadku zakupu nowych urządzeń wymagany będzie dokument finansowy potwierdzający poniesienie tych kosztów</w:t>
            </w:r>
            <w:r w:rsidRPr="006856D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DA7FC0" w14:paraId="3C9EA4C4" w14:textId="77777777" w:rsidTr="00DA7FC0">
        <w:trPr>
          <w:trHeight w:val="896"/>
        </w:trPr>
        <w:tc>
          <w:tcPr>
            <w:tcW w:w="9498" w:type="dxa"/>
          </w:tcPr>
          <w:p w14:paraId="4930CE4B" w14:textId="77777777" w:rsidR="00EE34BB" w:rsidRDefault="00EE34BB" w:rsidP="00DA7FC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B09605" w14:textId="77777777" w:rsidR="00DA7FC0" w:rsidRDefault="00DA7FC0" w:rsidP="00DA7FC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8FF">
              <w:rPr>
                <w:rFonts w:ascii="Arial" w:hAnsi="Arial" w:cs="Arial"/>
                <w:b/>
                <w:bCs/>
                <w:sz w:val="20"/>
                <w:szCs w:val="20"/>
              </w:rPr>
              <w:t>4. Wsparcie rozwoju umiejętności i kwalifikacji niezbędnych w sektorze usług zdrowotnych i opiekuńczych oraz wsparcie rozwoju umiejętności i kwalifikacji członków lub pracowników spółdzielni socjalnych oraz pracowników zatrudnionych w przedsiębiorstwach społecznych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D038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59ABF03" w14:textId="5112616F" w:rsidR="00EE34BB" w:rsidRDefault="00EE34BB" w:rsidP="00DA7FC0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A7FC0" w14:paraId="44669FB6" w14:textId="77777777" w:rsidTr="00DA7FC0">
        <w:trPr>
          <w:trHeight w:val="15"/>
        </w:trPr>
        <w:tc>
          <w:tcPr>
            <w:tcW w:w="9498" w:type="dxa"/>
          </w:tcPr>
          <w:p w14:paraId="2D23C267" w14:textId="77777777" w:rsidR="00DA7FC0" w:rsidRPr="00D038FF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8FF">
              <w:rPr>
                <w:rFonts w:ascii="Arial" w:hAnsi="Arial" w:cs="Arial"/>
                <w:sz w:val="20"/>
                <w:szCs w:val="20"/>
              </w:rPr>
              <w:t>Środki mogą zostać przeznaczone na kształcenie dla:</w:t>
            </w:r>
          </w:p>
          <w:p w14:paraId="4FE5C308" w14:textId="77777777" w:rsidR="00DA7FC0" w:rsidRPr="00D038FF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8FF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  <w:r w:rsidRPr="00D038FF">
              <w:rPr>
                <w:rFonts w:ascii="Arial" w:hAnsi="Arial" w:cs="Arial"/>
                <w:sz w:val="20"/>
                <w:szCs w:val="20"/>
              </w:rPr>
              <w:t xml:space="preserve"> podmiotów działających w sektorze usług zdrowotnych i opiekuńczych – warunkiem skorzystania ze</w:t>
            </w:r>
          </w:p>
          <w:p w14:paraId="71D5BF79" w14:textId="148677A0" w:rsidR="00DA7FC0" w:rsidRPr="00D038FF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8FF">
              <w:rPr>
                <w:rFonts w:ascii="Arial" w:hAnsi="Arial" w:cs="Arial"/>
                <w:sz w:val="20"/>
                <w:szCs w:val="20"/>
              </w:rPr>
              <w:t>środków KFS jest oświadczenie wnioskodawcy o konieczności odbycia wnioskowanego szkolenia lub nabycia</w:t>
            </w:r>
            <w:r w:rsidR="00EE34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8FF">
              <w:rPr>
                <w:rFonts w:ascii="Arial" w:hAnsi="Arial" w:cs="Arial"/>
                <w:sz w:val="20"/>
                <w:szCs w:val="20"/>
              </w:rPr>
              <w:t>określonych umiejętności z zakresu usług zdrowotnych i opiekuńczych. Dostęp do priorytetu ma każdy</w:t>
            </w:r>
            <w:r w:rsidR="00EE34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8FF">
              <w:rPr>
                <w:rFonts w:ascii="Arial" w:hAnsi="Arial" w:cs="Arial"/>
                <w:sz w:val="20"/>
                <w:szCs w:val="20"/>
              </w:rPr>
              <w:t>pracodawca bądź prowadzący jednoosobową działalność gospodarczą posiadający PKD w Sekcji Q tj.</w:t>
            </w:r>
            <w:r w:rsidR="00EE34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8FF">
              <w:rPr>
                <w:rFonts w:ascii="Arial" w:hAnsi="Arial" w:cs="Arial"/>
                <w:sz w:val="20"/>
                <w:szCs w:val="20"/>
              </w:rPr>
              <w:t>opieka zdrowotna i pomoc społeczna w działach:</w:t>
            </w:r>
          </w:p>
          <w:p w14:paraId="301F6863" w14:textId="77777777" w:rsidR="00DA7FC0" w:rsidRPr="00D038FF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8FF">
              <w:rPr>
                <w:rFonts w:ascii="Arial" w:hAnsi="Arial" w:cs="Arial"/>
                <w:sz w:val="20"/>
                <w:szCs w:val="20"/>
              </w:rPr>
              <w:t>86 – opieka zdrowotna,</w:t>
            </w:r>
          </w:p>
          <w:p w14:paraId="3FF4794E" w14:textId="77777777" w:rsidR="00DA7FC0" w:rsidRPr="00D038FF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8FF">
              <w:rPr>
                <w:rFonts w:ascii="Arial" w:hAnsi="Arial" w:cs="Arial"/>
                <w:sz w:val="20"/>
                <w:szCs w:val="20"/>
              </w:rPr>
              <w:t>87 – pomoc społeczna z zakwaterowaniem,</w:t>
            </w:r>
          </w:p>
          <w:p w14:paraId="20DE68EC" w14:textId="77777777" w:rsidR="00DA7FC0" w:rsidRPr="00D038FF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8FF">
              <w:rPr>
                <w:rFonts w:ascii="Arial" w:hAnsi="Arial" w:cs="Arial"/>
                <w:sz w:val="20"/>
                <w:szCs w:val="20"/>
              </w:rPr>
              <w:t>88 – pomoc społeczna bez zakwaterowania</w:t>
            </w:r>
          </w:p>
          <w:p w14:paraId="0F6BF96F" w14:textId="77777777" w:rsidR="00DA7FC0" w:rsidRPr="00D038FF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8FF">
              <w:rPr>
                <w:rFonts w:ascii="Arial" w:hAnsi="Arial" w:cs="Arial"/>
                <w:sz w:val="20"/>
                <w:szCs w:val="20"/>
              </w:rPr>
              <w:t>W ramach tego priorytetu można dofinansować dopuszczalne ustawą formy kształcenia ustawicznego</w:t>
            </w:r>
          </w:p>
          <w:p w14:paraId="3C4CC6AE" w14:textId="77777777" w:rsidR="00DA7FC0" w:rsidRPr="00D038FF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8FF">
              <w:rPr>
                <w:rFonts w:ascii="Arial" w:hAnsi="Arial" w:cs="Arial"/>
                <w:sz w:val="20"/>
                <w:szCs w:val="20"/>
              </w:rPr>
              <w:t>bezpośrednio związane z szeroko pojętą opieką zdrowotną czy opieką społeczną. Kształcenie powinno</w:t>
            </w:r>
          </w:p>
          <w:p w14:paraId="686ED341" w14:textId="77777777" w:rsidR="00DA7FC0" w:rsidRPr="00D038FF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8FF">
              <w:rPr>
                <w:rFonts w:ascii="Arial" w:hAnsi="Arial" w:cs="Arial"/>
                <w:sz w:val="20"/>
                <w:szCs w:val="20"/>
              </w:rPr>
              <w:t>być ściśle powiązane z procesem leczenia lub opieką nad osoba chorą, brak jest możliwości</w:t>
            </w:r>
          </w:p>
          <w:p w14:paraId="7EAB60D7" w14:textId="77777777" w:rsidR="00DA7FC0" w:rsidRPr="00D038FF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8FF">
              <w:rPr>
                <w:rFonts w:ascii="Arial" w:hAnsi="Arial" w:cs="Arial"/>
                <w:sz w:val="20"/>
                <w:szCs w:val="20"/>
              </w:rPr>
              <w:t>sfinansowania z tego priorytetu kształcenia z przepisów prawa.</w:t>
            </w:r>
          </w:p>
          <w:p w14:paraId="0FAF1E75" w14:textId="77777777" w:rsidR="00DA7FC0" w:rsidRPr="00D038FF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8FF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  <w:r w:rsidRPr="00D038FF">
              <w:rPr>
                <w:rFonts w:ascii="Arial" w:hAnsi="Arial" w:cs="Arial"/>
                <w:sz w:val="20"/>
                <w:szCs w:val="20"/>
              </w:rPr>
              <w:t xml:space="preserve"> przedsiębiorstw społecznych oraz spółdzielni socjalnych – ze środków mogą korzystać wszyscy pracownicy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8FF">
              <w:rPr>
                <w:rFonts w:ascii="Arial" w:hAnsi="Arial" w:cs="Arial"/>
                <w:sz w:val="20"/>
                <w:szCs w:val="20"/>
              </w:rPr>
              <w:t>przedsiębiorstw społecznych oraz pracownicy i członkowie spółdzielni socjalnych. Nie ma potrzeby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8FF">
              <w:rPr>
                <w:rFonts w:ascii="Arial" w:hAnsi="Arial" w:cs="Arial"/>
                <w:sz w:val="20"/>
                <w:szCs w:val="20"/>
              </w:rPr>
              <w:t>weryfikowania, czy pracownik, którego przeszkolenie ma być wsparte ze środków KFS należy do grupy osób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8FF">
              <w:rPr>
                <w:rFonts w:ascii="Arial" w:hAnsi="Arial" w:cs="Arial"/>
                <w:sz w:val="20"/>
                <w:szCs w:val="20"/>
              </w:rPr>
              <w:t>zagrożonych wykluczeniem. Należy jednak udowodnić, że wnioskowana forma kształcenia ustawicznego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8FF">
              <w:rPr>
                <w:rFonts w:ascii="Arial" w:hAnsi="Arial" w:cs="Arial"/>
                <w:sz w:val="20"/>
                <w:szCs w:val="20"/>
              </w:rPr>
              <w:t>niezbędna jest przy wykonywaniu obowiązków służbowych.</w:t>
            </w:r>
          </w:p>
          <w:p w14:paraId="4C3015D7" w14:textId="77777777" w:rsidR="00DA7FC0" w:rsidRPr="00D038FF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8FF">
              <w:rPr>
                <w:rFonts w:ascii="Arial" w:hAnsi="Arial" w:cs="Arial"/>
                <w:sz w:val="20"/>
                <w:szCs w:val="20"/>
              </w:rPr>
              <w:t>Przedsiębiorstwo społeczne – musi być wpisane do wykazu przedsiębiorstw społecznych prowadzonego przez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038FF">
              <w:rPr>
                <w:rFonts w:ascii="Arial" w:hAnsi="Arial" w:cs="Arial"/>
                <w:sz w:val="20"/>
                <w:szCs w:val="20"/>
              </w:rPr>
              <w:t>MRPiPS</w:t>
            </w:r>
            <w:proofErr w:type="spellEnd"/>
            <w:r w:rsidRPr="00D038FF">
              <w:rPr>
                <w:rFonts w:ascii="Arial" w:hAnsi="Arial" w:cs="Arial"/>
                <w:sz w:val="20"/>
                <w:szCs w:val="20"/>
              </w:rPr>
              <w:t xml:space="preserve"> w systemie „Rejestr Jednostek Pomocy Społecznej (RJPS)</w:t>
            </w:r>
            <w:r>
              <w:rPr>
                <w:rFonts w:ascii="Arial" w:hAnsi="Arial" w:cs="Arial"/>
                <w:sz w:val="20"/>
                <w:szCs w:val="20"/>
              </w:rPr>
              <w:t xml:space="preserve"> pod adresem https://rjps.mrips.gov.pl/RJPS/</w:t>
            </w:r>
            <w:r w:rsidRPr="00D038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C2C0CE" w14:textId="77777777" w:rsidR="00DA7FC0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8FF">
              <w:rPr>
                <w:rFonts w:ascii="Arial" w:hAnsi="Arial" w:cs="Arial"/>
                <w:sz w:val="20"/>
                <w:szCs w:val="20"/>
              </w:rPr>
              <w:t>Spółdzielnie socjalne – to podmioty wpisane do Krajowego Rejestru Sądowego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038FF">
              <w:rPr>
                <w:rFonts w:ascii="Arial" w:hAnsi="Arial" w:cs="Arial"/>
                <w:sz w:val="20"/>
                <w:szCs w:val="20"/>
              </w:rPr>
              <w:t>wskazan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038FF">
              <w:rPr>
                <w:rFonts w:ascii="Arial" w:hAnsi="Arial" w:cs="Arial"/>
                <w:sz w:val="20"/>
                <w:szCs w:val="20"/>
              </w:rPr>
              <w:t xml:space="preserve"> na liście/rejestrze przedsiębiorstw społecznych prowadzonym przez </w:t>
            </w:r>
            <w:proofErr w:type="spellStart"/>
            <w:r w:rsidRPr="00D038FF">
              <w:rPr>
                <w:rFonts w:ascii="Arial" w:hAnsi="Arial" w:cs="Arial"/>
                <w:sz w:val="20"/>
                <w:szCs w:val="20"/>
              </w:rPr>
              <w:t>MRPiPS</w:t>
            </w:r>
            <w:proofErr w:type="spellEnd"/>
            <w:r w:rsidRPr="00D038F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96B87AA" w14:textId="77777777" w:rsidR="00DA7FC0" w:rsidRDefault="00DA7FC0" w:rsidP="00DA7FC0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 xml:space="preserve">Ze środków w ramach tej części priorytetu korzystać mogą wszyscy pracownicy przedsiębiorstw społecznych oraz pracownicy i członkowie spółdzielni socjalnych. Dopuszczalne są wszystkie formy kształcenia ustawicznego. </w:t>
            </w:r>
          </w:p>
          <w:p w14:paraId="1D403CBB" w14:textId="77777777" w:rsidR="00DA7FC0" w:rsidRPr="00C02E0F" w:rsidRDefault="00DA7FC0" w:rsidP="00DA7FC0">
            <w:pPr>
              <w:pStyle w:val="Default"/>
              <w:jc w:val="both"/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</w:pPr>
            <w:r w:rsidRPr="00687A3A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lastRenderedPageBreak/>
              <w:t xml:space="preserve">Należy uzasadnić, że wnioskowana forma kształcenia ustawicznego niezbędna jest przy wykonywaniu obowiązków służbowych. </w:t>
            </w:r>
          </w:p>
        </w:tc>
      </w:tr>
      <w:tr w:rsidR="00DA7FC0" w14:paraId="2B94D5D3" w14:textId="77777777" w:rsidTr="00DA7FC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AB17" w14:textId="77777777" w:rsidR="00EE34BB" w:rsidRDefault="00EE34BB" w:rsidP="00DA7FC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09D16D" w14:textId="05A7FC9C" w:rsidR="00DA7FC0" w:rsidRDefault="00DA7FC0" w:rsidP="00DA7FC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8FF">
              <w:rPr>
                <w:rFonts w:ascii="Arial" w:hAnsi="Arial" w:cs="Arial"/>
                <w:b/>
                <w:bCs/>
                <w:sz w:val="20"/>
                <w:szCs w:val="20"/>
              </w:rPr>
              <w:t>5.   Wsparcie kształcenia ustawicznego osób po 45 roku życia.</w:t>
            </w:r>
          </w:p>
          <w:p w14:paraId="03B400F1" w14:textId="77777777" w:rsidR="00DA7FC0" w:rsidRDefault="00DA7FC0" w:rsidP="00DA7FC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7FC0" w14:paraId="14D24F60" w14:textId="77777777" w:rsidTr="00DA7FC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2"/>
        </w:trPr>
        <w:tc>
          <w:tcPr>
            <w:tcW w:w="9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574D" w14:textId="06FFC9F3" w:rsidR="00DA7FC0" w:rsidRDefault="00AA0641" w:rsidP="00DA7F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Środki KFS mogą zostać przeznaczone na kształcenie ustawiczne osób, które na moment złożenia wniosku mają </w:t>
            </w:r>
            <w:r w:rsidR="00DA7FC0" w:rsidRPr="00D038FF">
              <w:rPr>
                <w:rFonts w:ascii="Arial" w:hAnsi="Arial" w:cs="Arial"/>
                <w:sz w:val="20"/>
                <w:szCs w:val="20"/>
              </w:rPr>
              <w:t>ukończone 45 lat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A7F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DBC2F1" w14:textId="34B280D6" w:rsidR="00AA0641" w:rsidRPr="00AA0641" w:rsidRDefault="00AA0641" w:rsidP="00AA0641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W </w:t>
            </w:r>
            <w:r w:rsidRPr="00752DC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uzasadnieni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u</w:t>
            </w:r>
            <w:r w:rsidRPr="00752DC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odbycia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kształcenia należy wykazać potrzebę nabycia umiejętności .</w:t>
            </w:r>
          </w:p>
        </w:tc>
      </w:tr>
      <w:tr w:rsidR="00DA7FC0" w14:paraId="72F5567F" w14:textId="77777777" w:rsidTr="00DA7FC0">
        <w:trPr>
          <w:trHeight w:val="420"/>
        </w:trPr>
        <w:tc>
          <w:tcPr>
            <w:tcW w:w="9498" w:type="dxa"/>
            <w:tcBorders>
              <w:bottom w:val="single" w:sz="4" w:space="0" w:color="auto"/>
            </w:tcBorders>
          </w:tcPr>
          <w:p w14:paraId="7FB2BCBE" w14:textId="77777777" w:rsidR="00EE34BB" w:rsidRDefault="00EE34BB" w:rsidP="00DA7FC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3BD5B6" w14:textId="4DBA5098" w:rsidR="00DA7FC0" w:rsidRDefault="00DA7FC0" w:rsidP="00DA7FC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8FF">
              <w:rPr>
                <w:rFonts w:ascii="Arial" w:hAnsi="Arial" w:cs="Arial"/>
                <w:b/>
                <w:bCs/>
                <w:sz w:val="20"/>
                <w:szCs w:val="20"/>
              </w:rPr>
              <w:t>6.   Wsparcie kształcenia ustawicznego w zakresie zarządzania i zapobieganie  sytuacjom kryzysowym w przedsiębiorstwach.</w:t>
            </w:r>
          </w:p>
          <w:p w14:paraId="09829E08" w14:textId="77777777" w:rsidR="00DA7FC0" w:rsidRDefault="00DA7FC0" w:rsidP="00DA7FC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38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A7FC0" w14:paraId="06AB156A" w14:textId="77777777" w:rsidTr="00DA7FC0">
        <w:trPr>
          <w:trHeight w:val="473"/>
        </w:trPr>
        <w:tc>
          <w:tcPr>
            <w:tcW w:w="9498" w:type="dxa"/>
          </w:tcPr>
          <w:p w14:paraId="49042BD0" w14:textId="77777777" w:rsidR="00DA7FC0" w:rsidRPr="00D038FF" w:rsidRDefault="00DA7FC0" w:rsidP="00DA7FC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38FF">
              <w:rPr>
                <w:rFonts w:ascii="Arial" w:hAnsi="Arial" w:cs="Arial"/>
                <w:sz w:val="20"/>
                <w:szCs w:val="20"/>
              </w:rPr>
              <w:t>Środki mogą zostać przeznaczone na kształcenie ustawiczne związane z zarządzaniem i zapobieganiem sytuacjom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8FF">
              <w:rPr>
                <w:rFonts w:ascii="Arial" w:hAnsi="Arial" w:cs="Arial"/>
                <w:sz w:val="20"/>
                <w:szCs w:val="20"/>
              </w:rPr>
              <w:t>kryzysowym w przedsiębiorstwach. Dofinansowanie w ramach tego priorytetu może otrzymać każdy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8FF">
              <w:rPr>
                <w:rFonts w:ascii="Arial" w:hAnsi="Arial" w:cs="Arial"/>
                <w:sz w:val="20"/>
                <w:szCs w:val="20"/>
              </w:rPr>
              <w:t>przedsiębiorca, który w przekonujący sposób uzasadni, że dla prawidłowego działania jego firmy, bądź dla jej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8FF">
              <w:rPr>
                <w:rFonts w:ascii="Arial" w:hAnsi="Arial" w:cs="Arial"/>
                <w:sz w:val="20"/>
                <w:szCs w:val="20"/>
              </w:rPr>
              <w:t>ratowania niezbędne jest nabycie konkretnych umiejętności. Wnioskodawca powinien w wiarygodny sposób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8FF">
              <w:rPr>
                <w:rFonts w:ascii="Arial" w:hAnsi="Arial" w:cs="Arial"/>
                <w:sz w:val="20"/>
                <w:szCs w:val="20"/>
              </w:rPr>
              <w:t>wykazać, powiązanie wykonywanych zadań czy obowiązków z wnioskowanym kształceniem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11B722" w14:textId="7A9CB838" w:rsidR="00DA7FC0" w:rsidRDefault="00DA7FC0" w:rsidP="00DA7FC0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752DC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Kluczową rolę odgrywa </w:t>
            </w:r>
            <w:r w:rsidR="00AA06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program kształcenia i </w:t>
            </w:r>
            <w:r w:rsidRPr="00752DC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uzasadnienie </w:t>
            </w:r>
            <w:r w:rsidR="00AA06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potrzeby jego </w:t>
            </w:r>
            <w:r w:rsidRPr="00752DC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odbycia</w:t>
            </w:r>
            <w:r w:rsidR="00AA06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.</w:t>
            </w:r>
          </w:p>
          <w:p w14:paraId="02AB74C3" w14:textId="77777777" w:rsidR="00DA7FC0" w:rsidRDefault="00DA7FC0" w:rsidP="00DA7FC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7FC0" w14:paraId="69536107" w14:textId="77777777" w:rsidTr="00DA7FC0">
        <w:trPr>
          <w:trHeight w:val="435"/>
        </w:trPr>
        <w:tc>
          <w:tcPr>
            <w:tcW w:w="9498" w:type="dxa"/>
          </w:tcPr>
          <w:p w14:paraId="14E20845" w14:textId="77777777" w:rsidR="00EE34BB" w:rsidRDefault="00EE34BB" w:rsidP="00DA7FC0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EC49B4" w14:textId="77777777" w:rsidR="00DA7FC0" w:rsidRDefault="00DA7FC0" w:rsidP="00DA7FC0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B28">
              <w:rPr>
                <w:rFonts w:ascii="Arial" w:hAnsi="Arial" w:cs="Arial"/>
                <w:b/>
                <w:bCs/>
                <w:sz w:val="20"/>
                <w:szCs w:val="20"/>
              </w:rPr>
              <w:t>7. Wsparcie rozwoju umiejętności i kwalifikacji w obszarach/branżach kluczowych dla rozwoju województwa łódzkiego.</w:t>
            </w:r>
          </w:p>
          <w:p w14:paraId="6C613C4E" w14:textId="1DF32BBF" w:rsidR="00EE34BB" w:rsidRDefault="00EE34BB" w:rsidP="00DA7FC0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7FC0" w14:paraId="2E51448F" w14:textId="77777777" w:rsidTr="00DA7FC0">
        <w:trPr>
          <w:trHeight w:val="315"/>
        </w:trPr>
        <w:tc>
          <w:tcPr>
            <w:tcW w:w="9498" w:type="dxa"/>
          </w:tcPr>
          <w:p w14:paraId="3EBE3F68" w14:textId="72CBFEFE" w:rsidR="00DA7FC0" w:rsidRPr="00820285" w:rsidRDefault="00DA7FC0" w:rsidP="00DA7FC0">
            <w:pPr>
              <w:suppressAutoHyphens w:val="0"/>
              <w:spacing w:after="16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20285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 ocenie wniosków uwzględnia się kluczowe branże dla rozwoju województwa łódzkiego określone w Regionalnej Strategii Innowacji dla Województwa Łódzkiego – „LORIS 2030</w:t>
            </w:r>
            <w:r w:rsidR="00AA0641" w:rsidRPr="00AA0641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US"/>
              </w:rPr>
              <w:t>1</w:t>
            </w:r>
            <w:r w:rsidRPr="00820285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”:</w:t>
            </w:r>
          </w:p>
          <w:p w14:paraId="239347E8" w14:textId="7C64F26C" w:rsidR="00DA7FC0" w:rsidRPr="00820285" w:rsidRDefault="00DA7FC0" w:rsidP="00DA7FC0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20285"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• </w:t>
            </w:r>
            <w:r w:rsidR="00AA0641"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Nowoczesny przemysł włókienniczy i mody (w tym wzornictwo);</w:t>
            </w:r>
          </w:p>
          <w:p w14:paraId="4A8A54D5" w14:textId="6B958D3F" w:rsidR="00DA7FC0" w:rsidRPr="00820285" w:rsidRDefault="00DA7FC0" w:rsidP="00AA0641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20285"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• </w:t>
            </w:r>
            <w:r w:rsidR="00AA0641"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Zaawansowane materiały budowlane</w:t>
            </w:r>
            <w:r w:rsidRPr="00820285"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;</w:t>
            </w:r>
          </w:p>
          <w:p w14:paraId="1BB526F2" w14:textId="0FA3DFD8" w:rsidR="00AA0641" w:rsidRPr="00820285" w:rsidRDefault="00DA7FC0" w:rsidP="00DA7FC0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20285"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• Medycyna, farmacja, kosmetyki</w:t>
            </w:r>
            <w:r w:rsidR="00AA0641"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;</w:t>
            </w:r>
          </w:p>
          <w:p w14:paraId="72D1F407" w14:textId="52862AFA" w:rsidR="00DA7FC0" w:rsidRPr="00820285" w:rsidRDefault="00DA7FC0" w:rsidP="00DA7FC0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20285"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•</w:t>
            </w:r>
            <w:r w:rsidR="00AA0641"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Energetyka, w tym odnawialne źródła energii;</w:t>
            </w:r>
          </w:p>
          <w:p w14:paraId="7B8BB7EF" w14:textId="6AF7B51F" w:rsidR="00DA7FC0" w:rsidRPr="00820285" w:rsidRDefault="00DA7FC0" w:rsidP="00DA7FC0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20285"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• I</w:t>
            </w:r>
            <w:r w:rsidR="00AA0641"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nnowacyjne rolnictwo i przetwórstwo rolno-spożywcze;</w:t>
            </w:r>
          </w:p>
          <w:p w14:paraId="3A1C54B8" w14:textId="3C1DFE2D" w:rsidR="00DA7FC0" w:rsidRPr="00820285" w:rsidRDefault="00DA7FC0" w:rsidP="00DA7FC0">
            <w:pPr>
              <w:suppressAutoHyphens w:val="0"/>
              <w:spacing w:line="276" w:lineRule="auto"/>
              <w:jc w:val="both"/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20285"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• </w:t>
            </w:r>
            <w:r w:rsidR="00AA0641">
              <w:rPr>
                <w:rFonts w:ascii="Arial" w:eastAsiaTheme="minorHAnsi" w:hAnsi="Arial" w:cs="Arial"/>
                <w:kern w:val="2"/>
                <w:sz w:val="20"/>
                <w:szCs w:val="20"/>
                <w:lang w:eastAsia="en-US"/>
                <w14:ligatures w14:val="standardContextual"/>
              </w:rPr>
              <w:t>Informatyka i telekomunikacja.</w:t>
            </w:r>
          </w:p>
          <w:p w14:paraId="33F7278F" w14:textId="77777777" w:rsidR="00DA7FC0" w:rsidRDefault="00DA7FC0" w:rsidP="00DA7FC0">
            <w:pPr>
              <w:suppressAutoHyphens w:val="0"/>
              <w:spacing w:after="16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20285">
              <w:rPr>
                <w:rFonts w:ascii="Arial" w:eastAsia="Calibri" w:hAnsi="Arial" w:cs="Arial"/>
                <w:sz w:val="20"/>
                <w:szCs w:val="20"/>
                <w:lang w:eastAsia="en-US"/>
              </w:rPr>
              <w:t>Warunkiem dostępu do niniejszego priorytetu jest posiadanie jako przeważającej (według stanu na dzień 1 stycznia 2026 roku) odpowiedniego kodu PKD zawartego w Wykazie Regionalnych Inteligentnych specjalizacji Województwa Łódzkiego oraz wynikających z nich nisz specjalizacyjnych (strony od 4 do 14) oraz zawarte we wniosku o dofinasowanie wiarygodne uzasadnienie konieczności nabycia nowych umiejętności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  <w:p w14:paraId="6BEAEB49" w14:textId="36C3DBD6" w:rsidR="00AA0641" w:rsidRPr="00AA0641" w:rsidRDefault="00AA0641" w:rsidP="00DA7FC0">
            <w:pPr>
              <w:suppressAutoHyphens w:val="0"/>
              <w:spacing w:after="16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A0641"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Pr="00AA06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Regionalna Strategia Innowacji dla Województwa Łódzkiego – „LORIS 2030” dostępna jest pod linkiem https://www.lodzkie.pl/biznes/regionalna -strategia-innowacji-loris-2030</w:t>
            </w:r>
          </w:p>
        </w:tc>
      </w:tr>
      <w:tr w:rsidR="00DA7FC0" w14:paraId="16A977EF" w14:textId="77777777" w:rsidTr="00DA7FC0">
        <w:trPr>
          <w:trHeight w:val="248"/>
        </w:trPr>
        <w:tc>
          <w:tcPr>
            <w:tcW w:w="9498" w:type="dxa"/>
          </w:tcPr>
          <w:p w14:paraId="35163A74" w14:textId="77777777" w:rsidR="00EE34BB" w:rsidRDefault="00EE34BB" w:rsidP="00DA7FC0">
            <w:pPr>
              <w:suppressAutoHyphens w:val="0"/>
              <w:autoSpaceDE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BFF14B" w14:textId="52D4498B" w:rsidR="00DA7FC0" w:rsidRDefault="00DA7FC0" w:rsidP="00DA7FC0">
            <w:pPr>
              <w:suppressAutoHyphens w:val="0"/>
              <w:autoSpaceDE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B28">
              <w:rPr>
                <w:rFonts w:ascii="Arial" w:hAnsi="Arial" w:cs="Arial"/>
                <w:b/>
                <w:bCs/>
                <w:sz w:val="20"/>
                <w:szCs w:val="20"/>
              </w:rPr>
              <w:t>8.    Wsparcie kształcenia ustawicznego dla pracowników nowo zatrudnionych.</w:t>
            </w:r>
          </w:p>
          <w:p w14:paraId="2498D82A" w14:textId="77777777" w:rsidR="00DA7FC0" w:rsidRDefault="00DA7FC0" w:rsidP="00DA7FC0">
            <w:pPr>
              <w:suppressAutoHyphens w:val="0"/>
              <w:autoSpaceDE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7FC0" w14:paraId="643630BB" w14:textId="77777777" w:rsidTr="00DA7FC0">
        <w:trPr>
          <w:trHeight w:val="15"/>
        </w:trPr>
        <w:tc>
          <w:tcPr>
            <w:tcW w:w="9498" w:type="dxa"/>
          </w:tcPr>
          <w:p w14:paraId="4F74A502" w14:textId="77777777" w:rsidR="00DA7FC0" w:rsidRDefault="00DA7FC0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Priorytet dotyczy pracowników zatrudnionych w okresie 6 miesięcy przed dniem złożenia wniosku o przyznanie środków Krajowego Funduszu Szkoleniowego na finansowanie kosztów kształcenia ustawicznego.</w:t>
            </w:r>
          </w:p>
          <w:p w14:paraId="7E6AD9E5" w14:textId="77777777" w:rsidR="00EE34BB" w:rsidRPr="00DA7FC0" w:rsidRDefault="00EE34BB" w:rsidP="00DA7FC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7703212" w14:textId="77777777" w:rsidR="00E811FA" w:rsidRDefault="00E811FA"/>
    <w:p w14:paraId="6CCF9C81" w14:textId="35D62287" w:rsidR="006856DA" w:rsidRDefault="006856DA" w:rsidP="006856D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0ADCFDC" w14:textId="3893D6F7" w:rsidR="00724C0C" w:rsidRDefault="00724C0C" w:rsidP="006856D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63A26B6" w14:textId="77777777" w:rsidR="006856DA" w:rsidRDefault="006856DA" w:rsidP="006856D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EE5C6B0" w14:textId="1289149D" w:rsidR="002B150C" w:rsidRDefault="002B150C" w:rsidP="00DA7FC0">
      <w:pPr>
        <w:ind w:left="-284"/>
      </w:pPr>
    </w:p>
    <w:sectPr w:rsidR="002B150C" w:rsidSect="00E811FA">
      <w:footerReference w:type="default" r:id="rId2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FC4AD" w14:textId="77777777" w:rsidR="00BC240D" w:rsidRDefault="00BC240D" w:rsidP="00247810">
      <w:r>
        <w:separator/>
      </w:r>
    </w:p>
  </w:endnote>
  <w:endnote w:type="continuationSeparator" w:id="0">
    <w:p w14:paraId="4F616C89" w14:textId="77777777" w:rsidR="00BC240D" w:rsidRDefault="00BC240D" w:rsidP="0024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ABA5" w14:textId="3C32E5BC" w:rsidR="00247810" w:rsidRDefault="002478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9A5E6" w14:textId="77777777" w:rsidR="00BC240D" w:rsidRDefault="00BC240D" w:rsidP="00247810">
      <w:r>
        <w:separator/>
      </w:r>
    </w:p>
  </w:footnote>
  <w:footnote w:type="continuationSeparator" w:id="0">
    <w:p w14:paraId="7473F6B2" w14:textId="77777777" w:rsidR="00BC240D" w:rsidRDefault="00BC240D" w:rsidP="00247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C5EA3"/>
    <w:multiLevelType w:val="hybridMultilevel"/>
    <w:tmpl w:val="9F1A4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A2823"/>
    <w:multiLevelType w:val="hybridMultilevel"/>
    <w:tmpl w:val="761A2C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D44A7"/>
    <w:multiLevelType w:val="hybridMultilevel"/>
    <w:tmpl w:val="73B8F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675C2"/>
    <w:multiLevelType w:val="hybridMultilevel"/>
    <w:tmpl w:val="170A40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13875"/>
    <w:multiLevelType w:val="hybridMultilevel"/>
    <w:tmpl w:val="BAC6B5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16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6693621">
    <w:abstractNumId w:val="3"/>
  </w:num>
  <w:num w:numId="3" w16cid:durableId="653147741">
    <w:abstractNumId w:val="1"/>
  </w:num>
  <w:num w:numId="4" w16cid:durableId="1424449060">
    <w:abstractNumId w:val="4"/>
  </w:num>
  <w:num w:numId="5" w16cid:durableId="1164471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43"/>
    <w:rsid w:val="00036443"/>
    <w:rsid w:val="00046FFE"/>
    <w:rsid w:val="00105AB1"/>
    <w:rsid w:val="001A2503"/>
    <w:rsid w:val="00247810"/>
    <w:rsid w:val="00292B28"/>
    <w:rsid w:val="002B150C"/>
    <w:rsid w:val="002D4597"/>
    <w:rsid w:val="00306A5D"/>
    <w:rsid w:val="00395F26"/>
    <w:rsid w:val="00454FB7"/>
    <w:rsid w:val="00477BB5"/>
    <w:rsid w:val="004E2FB4"/>
    <w:rsid w:val="00533A1C"/>
    <w:rsid w:val="00666BDC"/>
    <w:rsid w:val="006856DA"/>
    <w:rsid w:val="00687A3A"/>
    <w:rsid w:val="00724C0C"/>
    <w:rsid w:val="00750C58"/>
    <w:rsid w:val="00752DC4"/>
    <w:rsid w:val="00820285"/>
    <w:rsid w:val="00921401"/>
    <w:rsid w:val="00A25166"/>
    <w:rsid w:val="00AA0641"/>
    <w:rsid w:val="00B07E9C"/>
    <w:rsid w:val="00BC240D"/>
    <w:rsid w:val="00C02E0F"/>
    <w:rsid w:val="00C2094F"/>
    <w:rsid w:val="00C40E6E"/>
    <w:rsid w:val="00C833E7"/>
    <w:rsid w:val="00C9196A"/>
    <w:rsid w:val="00CB2681"/>
    <w:rsid w:val="00D038FF"/>
    <w:rsid w:val="00D44E9A"/>
    <w:rsid w:val="00D6434B"/>
    <w:rsid w:val="00DA7FC0"/>
    <w:rsid w:val="00DF6FA9"/>
    <w:rsid w:val="00E355A1"/>
    <w:rsid w:val="00E811FA"/>
    <w:rsid w:val="00ED7228"/>
    <w:rsid w:val="00EE34BB"/>
    <w:rsid w:val="00F14F75"/>
    <w:rsid w:val="00F20431"/>
    <w:rsid w:val="00F32070"/>
    <w:rsid w:val="00FA00C7"/>
    <w:rsid w:val="00FA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1790"/>
  <w15:chartTrackingRefBased/>
  <w15:docId w15:val="{4EADE9A1-9533-42DE-AFAE-C4C87377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C0C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6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6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64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64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64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644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644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644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644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6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6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644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644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644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64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64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64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64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64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6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64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64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6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64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64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64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6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64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6443"/>
    <w:rPr>
      <w:b/>
      <w:bCs/>
      <w:smallCaps/>
      <w:color w:val="2F5496" w:themeColor="accent1" w:themeShade="BF"/>
      <w:spacing w:val="5"/>
    </w:rPr>
  </w:style>
  <w:style w:type="paragraph" w:customStyle="1" w:styleId="Akapitzlist1">
    <w:name w:val="Akapit z listą1"/>
    <w:basedOn w:val="Normalny"/>
    <w:link w:val="ListParagraphZnak"/>
    <w:rsid w:val="004E2FB4"/>
    <w:pPr>
      <w:suppressAutoHyphens w:val="0"/>
      <w:spacing w:after="200" w:line="276" w:lineRule="auto"/>
      <w:ind w:left="720"/>
    </w:pPr>
  </w:style>
  <w:style w:type="character" w:customStyle="1" w:styleId="ListParagraphZnak">
    <w:name w:val="List Paragraph Znak"/>
    <w:link w:val="Akapitzlist1"/>
    <w:rsid w:val="004E2FB4"/>
    <w:rPr>
      <w:rFonts w:ascii="Times New Roman" w:eastAsia="Times New Roman" w:hAnsi="Times New Roman" w:cs="Times New Roman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454F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4FB7"/>
    <w:rPr>
      <w:color w:val="605E5C"/>
      <w:shd w:val="clear" w:color="auto" w:fill="E1DFDD"/>
    </w:rPr>
  </w:style>
  <w:style w:type="paragraph" w:customStyle="1" w:styleId="Normalny1">
    <w:name w:val="Normalny1"/>
    <w:rsid w:val="00752DC4"/>
    <w:pPr>
      <w:suppressAutoHyphens/>
      <w:spacing w:line="240" w:lineRule="auto"/>
    </w:pPr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687A3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D459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78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7810"/>
    <w:rPr>
      <w:rFonts w:ascii="Times New Roman" w:eastAsia="Times New Roman" w:hAnsi="Times New Roman" w:cs="Times New Roman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2478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7810"/>
    <w:rPr>
      <w:rFonts w:ascii="Times New Roman" w:eastAsia="Times New Roman" w:hAnsi="Times New Roma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ometrzawodow.pl/modul/prognozy-na-mapach-wyniki?map_type=province&amp;province%5B0%5D=5&amp;map_details=counties&amp;relation=1&amp;year%5B0%5D=2026&amp;profession%5B0%5D=8739" TargetMode="External"/><Relationship Id="rId13" Type="http://schemas.openxmlformats.org/officeDocument/2006/relationships/hyperlink" Target="https://barometrzawodow.pl/modul/prognozy-na-mapach-wyniki?map_type=province&amp;province%5B0%5D=5&amp;map_details=counties&amp;relation=1&amp;year%5B0%5D=2026&amp;profession%5B0%5D=8754" TargetMode="External"/><Relationship Id="rId18" Type="http://schemas.openxmlformats.org/officeDocument/2006/relationships/hyperlink" Target="https://barometrzawodow.pl/modul/prognozy-na-mapach-wyniki?map_type=province&amp;province%5B0%5D=5&amp;map_details=counties&amp;relation=1&amp;year%5B0%5D=2026&amp;profession%5B0%5D=8739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barometrzawodow.pl/modul/prognozy-na-mapach-wyniki?map_type=province&amp;province%5B0%5D=5&amp;map_details=counties&amp;relation=1&amp;year%5B0%5D=2026&amp;profession%5B0%5D=8837" TargetMode="External"/><Relationship Id="rId7" Type="http://schemas.openxmlformats.org/officeDocument/2006/relationships/hyperlink" Target="https://barometrzawodow.pl/modul/prognozy-na" TargetMode="External"/><Relationship Id="rId12" Type="http://schemas.openxmlformats.org/officeDocument/2006/relationships/hyperlink" Target="https://barometrzawodow.pl/modul/prognozy-na-mapach-wyniki?map_type=province&amp;province%5B0%5D=5&amp;map_details=counties&amp;relation=1&amp;year%5B0%5D=2026&amp;profession%5B0%5D=8885" TargetMode="External"/><Relationship Id="rId17" Type="http://schemas.openxmlformats.org/officeDocument/2006/relationships/hyperlink" Target="https://barometrzawodow.pl/modul/prognozy-na-mapach-wyniki?map_type=province&amp;province%5B0%5D=5&amp;map_details=counties&amp;relation=1&amp;year%5B0%5D=2026&amp;profession%5B0%5D=8857" TargetMode="External"/><Relationship Id="rId25" Type="http://schemas.openxmlformats.org/officeDocument/2006/relationships/hyperlink" Target="https://barometrzawodow.pl/modul/prognozy-na-mapach-wyniki?map_type=province&amp;province%5B0%5D=5&amp;map_details=counties&amp;relation=1&amp;year%5B0%5D=2026&amp;profession%5B0%5D=88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rometrzawodow.pl/modul/prognozy-na-mapach-wyniki?map_type=province&amp;province%5B0%5D=5&amp;map_details=counties&amp;relation=1&amp;year%5B0%5D=2026&amp;profession%5B0%5D=8817" TargetMode="External"/><Relationship Id="rId20" Type="http://schemas.openxmlformats.org/officeDocument/2006/relationships/hyperlink" Target="https://barometrzawodow.pl/modul/prognozy-na-mapach-wyniki?map_type=province&amp;province%5B0%5D=5&amp;map_details=counties&amp;relation=1&amp;year%5B0%5D=2026&amp;profession%5B0%5D=888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rometrzawodow.pl/modul/prognozy-na-mapach-wyniki?map_type=province&amp;province%5B0%5D=5&amp;map_details=counties&amp;relation=1&amp;year%5B0%5D=2026&amp;profession%5B0%5D=8746" TargetMode="External"/><Relationship Id="rId24" Type="http://schemas.openxmlformats.org/officeDocument/2006/relationships/hyperlink" Target="https://barometrzawodow.pl/modul/prognozy-na-mapach-wyniki?map_type=province&amp;province%5B0%5D=5&amp;map_details=counties&amp;relation=1&amp;year%5B0%5D=2026&amp;profession%5B0%5D=875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arometrzawodow.pl/modul/prognozy-na-mapach-wyniki?map_type=province&amp;province%5B0%5D=5&amp;map_details=counties&amp;relation=1&amp;year%5B0%5D=2026&amp;profession%5B0%5D=8879" TargetMode="External"/><Relationship Id="rId23" Type="http://schemas.openxmlformats.org/officeDocument/2006/relationships/hyperlink" Target="https://barometrzawodow.pl/modul/prognozy-na-mapach-wyniki?map_type=province&amp;province%5B0%5D=5&amp;map_details=counties&amp;relation=1&amp;year%5B0%5D=2026&amp;profession%5B0%5D=877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arometrzawodow.pl/modul/prognozy-na-mapach-wyniki?map_type=province&amp;province%5B0%5D=5&amp;map_details=counties&amp;relation=1&amp;year%5B0%5D=2026&amp;profession%5B0%5D=8743" TargetMode="External"/><Relationship Id="rId19" Type="http://schemas.openxmlformats.org/officeDocument/2006/relationships/hyperlink" Target="https://barometrzawodow.pl/modul/prognozy-na-mapach-wyniki?map_type=province&amp;province%5B0%5D=5&amp;map_details=counties&amp;relation=1&amp;year%5B0%5D=2026&amp;profession%5B0%5D=87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rometrzawodow.pl/modul/prognozy-na-mapach-wyniki?map_type=province&amp;province%5B0%5D=5&amp;map_details=counties&amp;relation=1&amp;year%5B0%5D=2026&amp;profession%5B0%5D=8745" TargetMode="External"/><Relationship Id="rId14" Type="http://schemas.openxmlformats.org/officeDocument/2006/relationships/hyperlink" Target="https://barometrzawodow.pl/modul/prognozy-na-plakatach?publication=province&amp;province=5&amp;county%20%20%20%20%20%20%20%20%20%20%20%20%20%20%20%20%20%20%20%20%20%20%20%20%20%20%20%20%20%20%20%20%20%20%20%20%20%20%20%20%20%20%20%20%20%20%20%20%20%20%20=&amp;year=2026&amp;form-group%5B%5D=low" TargetMode="External"/><Relationship Id="rId22" Type="http://schemas.openxmlformats.org/officeDocument/2006/relationships/hyperlink" Target="https://barometrzawodow.pl/modul/prognozy-na-mapach-wyniki?map_type=province&amp;province%5B0%5D=5&amp;map_details=counties&amp;relation=1&amp;year%5B0%5D=2026&amp;profession%5B0%5D=886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2032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Marcinkowska</dc:creator>
  <cp:keywords/>
  <dc:description/>
  <cp:lastModifiedBy>Aneta Marcinkowska</cp:lastModifiedBy>
  <cp:revision>16</cp:revision>
  <cp:lastPrinted>2026-03-25T10:52:00Z</cp:lastPrinted>
  <dcterms:created xsi:type="dcterms:W3CDTF">2026-02-13T10:54:00Z</dcterms:created>
  <dcterms:modified xsi:type="dcterms:W3CDTF">2026-04-02T07:20:00Z</dcterms:modified>
</cp:coreProperties>
</file>